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4F" w:rsidRDefault="00417524" w:rsidP="00893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324929503"/>
      <w:bookmarkStart w:id="1" w:name="_Toc259626845"/>
      <w:bookmarkStart w:id="2" w:name="_Toc324929512"/>
      <w:bookmarkStart w:id="3" w:name="_GoBack"/>
      <w:bookmarkEnd w:id="3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1654" cy="9485034"/>
            <wp:effectExtent l="0" t="0" r="571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533" cy="948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0E8" w:rsidRDefault="006330E8" w:rsidP="0063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330E8" w:rsidSect="009E433C">
          <w:headerReference w:type="default" r:id="rId10"/>
          <w:pgSz w:w="11906" w:h="16838"/>
          <w:pgMar w:top="851" w:right="1418" w:bottom="851" w:left="1418" w:header="709" w:footer="709" w:gutter="0"/>
          <w:pgNumType w:start="1"/>
          <w:cols w:space="708"/>
          <w:docGrid w:linePitch="360"/>
        </w:sectPr>
      </w:pPr>
    </w:p>
    <w:p w:rsidR="006330E8" w:rsidRPr="006330E8" w:rsidRDefault="006330E8" w:rsidP="00633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121" w:rsidRPr="00490279" w:rsidRDefault="00583121" w:rsidP="0058312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mallCaps/>
          <w:sz w:val="20"/>
          <w:szCs w:val="20"/>
          <w:lang w:eastAsia="ru-RU"/>
        </w:rPr>
      </w:pPr>
    </w:p>
    <w:sdt>
      <w:sdtPr>
        <w:rPr>
          <w:rFonts w:ascii="Arial" w:hAnsi="Arial"/>
          <w:sz w:val="18"/>
        </w:rPr>
        <w:id w:val="954144148"/>
        <w:docPartObj>
          <w:docPartGallery w:val="Table of Contents"/>
          <w:docPartUnique/>
        </w:docPartObj>
      </w:sdtPr>
      <w:sdtEndPr>
        <w:rPr>
          <w:rFonts w:asciiTheme="minorHAnsi" w:hAnsiTheme="minorHAnsi"/>
          <w:szCs w:val="18"/>
        </w:rPr>
      </w:sdtEndPr>
      <w:sdtContent>
        <w:p w:rsidR="00583121" w:rsidRPr="00490279" w:rsidRDefault="00583121" w:rsidP="006330E8">
          <w:pPr>
            <w:keepNext/>
            <w:keepLines/>
            <w:spacing w:before="120" w:after="0"/>
            <w:jc w:val="center"/>
            <w:rPr>
              <w:rFonts w:ascii="Arial" w:eastAsiaTheme="majorEastAsia" w:hAnsi="Arial" w:cs="Arial"/>
              <w:b/>
              <w:bCs/>
              <w:sz w:val="20"/>
              <w:szCs w:val="20"/>
              <w:lang w:eastAsia="ru-RU"/>
            </w:rPr>
          </w:pPr>
          <w:r w:rsidRPr="00490279">
            <w:rPr>
              <w:rFonts w:ascii="Arial" w:eastAsiaTheme="majorEastAsia" w:hAnsi="Arial" w:cs="Arial"/>
              <w:b/>
              <w:bCs/>
              <w:sz w:val="20"/>
              <w:szCs w:val="20"/>
              <w:lang w:eastAsia="ru-RU"/>
            </w:rPr>
            <w:t>Оглавление</w:t>
          </w:r>
        </w:p>
        <w:p w:rsidR="00583121" w:rsidRPr="00490279" w:rsidRDefault="00583121" w:rsidP="00583121">
          <w:pPr>
            <w:rPr>
              <w:lang w:eastAsia="ru-RU"/>
            </w:rPr>
          </w:pPr>
        </w:p>
        <w:p w:rsidR="003512BF" w:rsidRDefault="00583121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490279">
            <w:rPr>
              <w:rFonts w:ascii="Arial" w:hAnsi="Arial"/>
              <w:sz w:val="18"/>
              <w:szCs w:val="18"/>
            </w:rPr>
            <w:fldChar w:fldCharType="begin"/>
          </w:r>
          <w:r w:rsidRPr="00490279">
            <w:rPr>
              <w:rFonts w:ascii="Arial" w:hAnsi="Arial"/>
              <w:sz w:val="18"/>
              <w:szCs w:val="18"/>
            </w:rPr>
            <w:instrText xml:space="preserve"> TOC \o "1-3" \h \z \u </w:instrText>
          </w:r>
          <w:r w:rsidRPr="00490279">
            <w:rPr>
              <w:rFonts w:ascii="Arial" w:hAnsi="Arial"/>
              <w:sz w:val="18"/>
              <w:szCs w:val="18"/>
            </w:rPr>
            <w:fldChar w:fldCharType="separate"/>
          </w:r>
          <w:hyperlink w:anchor="_Toc355077713" w:history="1">
            <w:r w:rsidR="003512BF" w:rsidRPr="00E24DA7">
              <w:rPr>
                <w:rStyle w:val="af8"/>
                <w:rFonts w:ascii="Arial" w:hAnsi="Arial"/>
                <w:i/>
                <w:kern w:val="28"/>
              </w:rPr>
              <w:t>Примечание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_Toc355077713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3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14" w:history="1">
            <w:r w:rsidR="003512BF" w:rsidRPr="00E24DA7">
              <w:rPr>
                <w:rStyle w:val="af8"/>
                <w:rFonts w:ascii="Arial" w:hAnsi="Arial"/>
                <w:kern w:val="28"/>
              </w:rPr>
              <w:t>Положение в отрасли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_Toc355077714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4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15" w:history="1">
            <w:r w:rsidR="003512BF" w:rsidRPr="00E24DA7">
              <w:rPr>
                <w:rStyle w:val="af8"/>
                <w:rFonts w:ascii="Arial" w:hAnsi="Arial"/>
                <w:kern w:val="28"/>
              </w:rPr>
              <w:t>Уставный капитал ОАО «НГК «Славнефть».                                                                                                          Акционеры и номинальные держатели ОАО 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_Toc355077715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16" w:history="1">
            <w:r w:rsidR="003512BF" w:rsidRPr="00E24DA7">
              <w:rPr>
                <w:rStyle w:val="af8"/>
                <w:rFonts w:ascii="Arial" w:hAnsi="Arial"/>
                <w:kern w:val="28"/>
              </w:rPr>
              <w:t xml:space="preserve">Перечень дочерних и зависимых обществ ОАО «НГК «Славнефть»                                                                     </w:t>
            </w:r>
            <w:r w:rsidR="003512BF" w:rsidRPr="00E24DA7">
              <w:rPr>
                <w:rStyle w:val="af8"/>
                <w:rFonts w:ascii="Arial" w:hAnsi="Arial"/>
              </w:rPr>
              <w:t>(по состоянию на 01.01.2013)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_Toc355077716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6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17" w:history="1">
            <w:r w:rsidR="003512BF" w:rsidRPr="00E24DA7">
              <w:rPr>
                <w:rStyle w:val="af8"/>
                <w:rFonts w:ascii="Arial" w:hAnsi="Arial"/>
                <w:kern w:val="28"/>
              </w:rPr>
              <w:t>Приоритетные направления деятельности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_Toc355077717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18" w:history="1">
            <w:r w:rsidR="003512BF" w:rsidRPr="00E24DA7">
              <w:rPr>
                <w:rStyle w:val="af8"/>
                <w:rFonts w:ascii="Arial" w:hAnsi="Arial"/>
                <w:i/>
                <w:iCs/>
                <w:kern w:val="28"/>
              </w:rPr>
              <w:t>Геология и нефтедобыча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_Toc355077718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19" w:history="1">
            <w:r w:rsidR="003512BF" w:rsidRPr="00E24DA7">
              <w:rPr>
                <w:rStyle w:val="af8"/>
                <w:b/>
                <w:i/>
              </w:rPr>
              <w:t>Ресурсная база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_Toc355077719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0" w:history="1">
            <w:r w:rsidR="003512BF" w:rsidRPr="00E24DA7">
              <w:rPr>
                <w:rStyle w:val="af8"/>
                <w:b/>
                <w:i/>
              </w:rPr>
              <w:t>Добыча нефти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_Toc355077720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21" w:history="1">
            <w:r w:rsidR="003512BF" w:rsidRPr="00E24DA7">
              <w:rPr>
                <w:rStyle w:val="af8"/>
                <w:rFonts w:ascii="Arial" w:hAnsi="Arial"/>
                <w:i/>
                <w:iCs/>
                <w:kern w:val="28"/>
              </w:rPr>
              <w:t>Переработка нефти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_Toc355077721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11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2" w:history="1">
            <w:r w:rsidR="003512BF" w:rsidRPr="00E24DA7">
              <w:rPr>
                <w:rStyle w:val="af8"/>
                <w:b/>
                <w:i/>
              </w:rPr>
              <w:t>Открытое акционерное общество «Славнефть-Ярославнефтеоргсинтез»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_Toc355077722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12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4" w:history="1">
            <w:r w:rsidR="003512BF" w:rsidRPr="00E24DA7">
              <w:rPr>
                <w:rStyle w:val="af8"/>
                <w:b/>
                <w:i/>
              </w:rPr>
              <w:t>Открытое акционерное общество «Мозырский нефтеперерабатывающий завод»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_Toc355077724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13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5" w:history="1">
            <w:r w:rsidR="003512BF" w:rsidRPr="00E24DA7">
              <w:rPr>
                <w:rStyle w:val="af8"/>
                <w:b/>
                <w:i/>
              </w:rPr>
              <w:t>Открытое акционерное общество «Славнефть – Ярославский нефтеперерабатывающий завод им. Д.И. Менделеева» (Русойл)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_Toc355077725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26" w:history="1">
            <w:r w:rsidR="003512BF" w:rsidRPr="00E24DA7">
              <w:rPr>
                <w:rStyle w:val="af8"/>
                <w:rFonts w:ascii="Arial" w:hAnsi="Arial"/>
                <w:i/>
                <w:kern w:val="28"/>
              </w:rPr>
              <w:t>Реализация продукции в Российской Федерации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_Toc355077726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7" w:history="1">
            <w:r w:rsidR="003512BF" w:rsidRPr="00E24DA7">
              <w:rPr>
                <w:rStyle w:val="af8"/>
                <w:b/>
                <w:i/>
              </w:rPr>
              <w:t>Реализация нефти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_Toc355077727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28" w:history="1">
            <w:r w:rsidR="003512BF" w:rsidRPr="00E24DA7">
              <w:rPr>
                <w:rStyle w:val="af8"/>
                <w:b/>
                <w:i/>
              </w:rPr>
              <w:t>Реализация нефтепродуктов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_Toc355077728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29" w:history="1">
            <w:r w:rsidR="003512BF" w:rsidRPr="00E24DA7">
              <w:rPr>
                <w:rStyle w:val="af8"/>
                <w:rFonts w:ascii="Arial" w:hAnsi="Arial"/>
                <w:iCs/>
                <w:kern w:val="28"/>
              </w:rPr>
              <w:t>Финансовые результаты деятельности группы Славнефть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_Toc355077729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0" w:history="1">
            <w:r w:rsidR="003512BF" w:rsidRPr="00E24DA7">
              <w:rPr>
                <w:rStyle w:val="af8"/>
                <w:b/>
                <w:i/>
              </w:rPr>
              <w:t>Выручка группы Славнефть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_Toc355077730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1" w:history="1">
            <w:r w:rsidR="003512BF" w:rsidRPr="00E24DA7">
              <w:rPr>
                <w:rStyle w:val="af8"/>
                <w:b/>
                <w:i/>
              </w:rPr>
              <w:t>Затраты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_Toc355077731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16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2" w:history="1">
            <w:r w:rsidR="003512BF" w:rsidRPr="00E24DA7">
              <w:rPr>
                <w:rStyle w:val="af8"/>
                <w:b/>
                <w:i/>
              </w:rPr>
              <w:t>Себестоимость добычи нефти и газа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_Toc355077732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3" w:history="1">
            <w:r w:rsidR="003512BF" w:rsidRPr="00E24DA7">
              <w:rPr>
                <w:rStyle w:val="af8"/>
                <w:b/>
                <w:i/>
              </w:rPr>
              <w:t>Динамика себестоимости ОАО «Славнефть-ЯНОС».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_Toc355077733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18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4" w:history="1">
            <w:r w:rsidR="003512BF" w:rsidRPr="00E24DA7">
              <w:rPr>
                <w:rStyle w:val="af8"/>
                <w:b/>
                <w:i/>
              </w:rPr>
              <w:t>Динамика себестоимости на ОАО «Мозырский НПЗ»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_Toc355077734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18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5" w:history="1">
            <w:r w:rsidR="003512BF" w:rsidRPr="00E24DA7">
              <w:rPr>
                <w:rStyle w:val="af8"/>
                <w:b/>
                <w:i/>
              </w:rPr>
              <w:t>Капитальные вложения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_Toc355077735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19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6" w:history="1">
            <w:r w:rsidR="003512BF" w:rsidRPr="00E24DA7">
              <w:rPr>
                <w:rStyle w:val="af8"/>
                <w:b/>
                <w:i/>
              </w:rPr>
              <w:t>Финансовый результат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_Toc355077736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22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>
          <w:pPr>
            <w:pStyle w:val="27"/>
            <w:rPr>
              <w:rFonts w:asciiTheme="minorHAnsi" w:eastAsiaTheme="minorEastAsia" w:hAnsiTheme="minorHAnsi" w:cstheme="minorBidi"/>
              <w:smallCaps w:val="0"/>
              <w:sz w:val="22"/>
              <w:szCs w:val="22"/>
            </w:rPr>
          </w:pPr>
          <w:hyperlink w:anchor="_Toc355077737" w:history="1">
            <w:r w:rsidR="003512BF" w:rsidRPr="00E24DA7">
              <w:rPr>
                <w:rStyle w:val="af8"/>
                <w:b/>
                <w:i/>
              </w:rPr>
              <w:t>Налоговая политика группы Славнефть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_Toc355077737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22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38" w:history="1">
            <w:r w:rsidR="003512BF" w:rsidRPr="00E24DA7">
              <w:rPr>
                <w:rStyle w:val="af8"/>
                <w:rFonts w:ascii="Arial" w:hAnsi="Arial"/>
                <w:kern w:val="28"/>
              </w:rPr>
              <w:t>Информация об объеме использованных ОАО «НГК «Славнефть» в отчетном году видов энергетических ресурсов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_Toc355077738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23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39" w:history="1">
            <w:r w:rsidR="003512BF" w:rsidRPr="00E24DA7">
              <w:rPr>
                <w:rStyle w:val="af8"/>
                <w:rFonts w:ascii="Arial" w:hAnsi="Arial"/>
                <w:kern w:val="28"/>
              </w:rPr>
              <w:t>Описание основных факторов риска, связанных с деятельностью предприятий группы Славнефть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_Toc355077739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23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0" w:history="1">
            <w:r w:rsidR="003512BF" w:rsidRPr="00E24DA7">
              <w:rPr>
                <w:rStyle w:val="af8"/>
                <w:rFonts w:ascii="Arial" w:hAnsi="Arial"/>
                <w:kern w:val="28"/>
              </w:rPr>
              <w:t>Отчет Совета директоров ОАО 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_Toc355077740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24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1" w:history="1">
            <w:r w:rsidR="003512BF" w:rsidRPr="00E24DA7">
              <w:rPr>
                <w:rStyle w:val="af8"/>
                <w:rFonts w:ascii="Arial" w:hAnsi="Arial"/>
                <w:kern w:val="28"/>
              </w:rPr>
              <w:t>Отчет о выплате объявленных (начисленных) дивидендов по акциям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_Toc355077741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2" w:history="1">
            <w:r w:rsidR="003512BF" w:rsidRPr="00E24DA7">
              <w:rPr>
                <w:rStyle w:val="af8"/>
                <w:rFonts w:ascii="Arial" w:hAnsi="Arial"/>
                <w:kern w:val="28"/>
              </w:rPr>
              <w:t>ОАО «НГК «Славнефть» в 2012 году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_Toc355077742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25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3" w:history="1">
            <w:r w:rsidR="003512BF" w:rsidRPr="00E24DA7">
              <w:rPr>
                <w:rStyle w:val="af8"/>
                <w:rFonts w:ascii="Arial" w:hAnsi="Arial"/>
                <w:kern w:val="28"/>
              </w:rPr>
              <w:t>Перечень совершенных ОАО «НГК «Славнефть» крупных сделок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_Toc355077743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26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4" w:history="1">
            <w:r w:rsidR="003512BF" w:rsidRPr="00E24DA7">
              <w:rPr>
                <w:rStyle w:val="af8"/>
                <w:rFonts w:ascii="Arial" w:hAnsi="Arial"/>
                <w:kern w:val="28"/>
              </w:rPr>
              <w:t>Перечень совершенных ОАО «НГК «Славнефть» сделок, в совершении которых имеется заинтересованность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_Toc355077744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26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5" w:history="1">
            <w:r w:rsidR="003512BF" w:rsidRPr="00E24DA7">
              <w:rPr>
                <w:rStyle w:val="af8"/>
                <w:rFonts w:ascii="Arial" w:hAnsi="Arial"/>
                <w:kern w:val="28"/>
              </w:rPr>
              <w:t>Органы управления ОАО 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_Toc355077745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6" w:history="1">
            <w:r w:rsidR="003512BF" w:rsidRPr="00E24DA7">
              <w:rPr>
                <w:rStyle w:val="af8"/>
                <w:rFonts w:ascii="Arial" w:hAnsi="Arial"/>
                <w:kern w:val="28"/>
              </w:rPr>
              <w:t>Состав Совета директоров ОАО 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_Toc355077746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27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7" w:history="1">
            <w:r w:rsidR="003512BF" w:rsidRPr="00E24DA7">
              <w:rPr>
                <w:rStyle w:val="af8"/>
                <w:rFonts w:ascii="Arial" w:hAnsi="Arial"/>
                <w:kern w:val="28"/>
              </w:rPr>
              <w:t>Состав Правления ОАО 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_Toc355077747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29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8" w:history="1">
            <w:r w:rsidR="003512BF" w:rsidRPr="00E24DA7">
              <w:rPr>
                <w:rStyle w:val="af8"/>
                <w:rFonts w:ascii="Arial" w:hAnsi="Arial"/>
                <w:kern w:val="28"/>
              </w:rPr>
              <w:t>Критерии определения и размер вознаграждения членов Совета директоров и Правления ОАО «НГК «Славнефть»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_Toc355077748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31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49" w:history="1">
            <w:r w:rsidR="003512BF" w:rsidRPr="00E24DA7">
              <w:rPr>
                <w:rStyle w:val="af8"/>
                <w:rFonts w:ascii="Arial" w:hAnsi="Arial"/>
                <w:kern w:val="28"/>
              </w:rPr>
              <w:t>Сведения о соблюдении ОАО «НГК «Славнефть» Кодекса корпоративного поведения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_Toc355077749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31</w:t>
            </w:r>
            <w:r w:rsidR="003512BF">
              <w:rPr>
                <w:webHidden/>
              </w:rPr>
              <w:fldChar w:fldCharType="end"/>
            </w:r>
          </w:hyperlink>
        </w:p>
        <w:p w:rsidR="003512BF" w:rsidRDefault="00C93626" w:rsidP="003512BF">
          <w:pPr>
            <w:pStyle w:val="13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355077750" w:history="1">
            <w:r w:rsidR="003512BF" w:rsidRPr="00E24DA7">
              <w:rPr>
                <w:rStyle w:val="af8"/>
                <w:rFonts w:ascii="Arial" w:hAnsi="Arial"/>
                <w:kern w:val="28"/>
              </w:rPr>
              <w:t>Перспективы развития</w:t>
            </w:r>
            <w:r w:rsidR="003512BF">
              <w:rPr>
                <w:webHidden/>
              </w:rPr>
              <w:tab/>
            </w:r>
            <w:r w:rsidR="003512BF">
              <w:rPr>
                <w:webHidden/>
              </w:rPr>
              <w:fldChar w:fldCharType="begin"/>
            </w:r>
            <w:r w:rsidR="003512BF">
              <w:rPr>
                <w:webHidden/>
              </w:rPr>
              <w:instrText xml:space="preserve"> PAGEREF _Toc355077750 \h </w:instrText>
            </w:r>
            <w:r w:rsidR="003512BF">
              <w:rPr>
                <w:webHidden/>
              </w:rPr>
            </w:r>
            <w:r w:rsidR="003512BF">
              <w:rPr>
                <w:webHidden/>
              </w:rPr>
              <w:fldChar w:fldCharType="separate"/>
            </w:r>
            <w:r w:rsidR="00777C65">
              <w:rPr>
                <w:webHidden/>
              </w:rPr>
              <w:t>32</w:t>
            </w:r>
            <w:r w:rsidR="003512BF">
              <w:rPr>
                <w:webHidden/>
              </w:rPr>
              <w:fldChar w:fldCharType="end"/>
            </w:r>
          </w:hyperlink>
        </w:p>
        <w:p w:rsidR="00583121" w:rsidRPr="00490279" w:rsidRDefault="00583121" w:rsidP="00583121">
          <w:pPr>
            <w:rPr>
              <w:sz w:val="18"/>
              <w:szCs w:val="18"/>
            </w:rPr>
          </w:pPr>
          <w:r w:rsidRPr="00490279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sdtContent>
    </w:sdt>
    <w:p w:rsidR="00165CF6" w:rsidRPr="00490279" w:rsidRDefault="00165CF6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</w:pPr>
    </w:p>
    <w:p w:rsidR="00B711DD" w:rsidRPr="00490279" w:rsidRDefault="00B711DD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</w:pPr>
    </w:p>
    <w:p w:rsidR="00165CF6" w:rsidRPr="00490279" w:rsidRDefault="00165CF6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</w:pPr>
      <w:bookmarkStart w:id="4" w:name="_Toc355077713"/>
      <w:r w:rsidRPr="00490279"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  <w:t>Примечание</w:t>
      </w:r>
      <w:bookmarkEnd w:id="4"/>
    </w:p>
    <w:p w:rsidR="00583121" w:rsidRPr="00490279" w:rsidRDefault="00583121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i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</w:pPr>
      <w:r w:rsidRPr="00490279"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  <w:t xml:space="preserve">В настоящем Годовом отчете термин ОАО «НГК «Славнефть», Общество или Компания относится к головной компании группы Славнефть – Открытому акционерному обществу «Нефтегазовая компания «Славнефть». Под группой Славнефть следует понимать совокупность обществ, состоящую из ОАО «НГК «Славнефть» и его дочерних и зависимых обществ, входящих в консолидированную отчетность. </w:t>
      </w:r>
    </w:p>
    <w:p w:rsidR="00583121" w:rsidRPr="00490279" w:rsidRDefault="00583121" w:rsidP="00583121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</w:pPr>
    </w:p>
    <w:p w:rsidR="00583121" w:rsidRPr="00490279" w:rsidRDefault="00583121" w:rsidP="00583121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</w:pPr>
      <w:r w:rsidRPr="00490279"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  <w:t>В настоящем Годовом отчете ОАО «НГК «Славнефть» ряд показателей деятельности группы Славнефть сформирован в соответствии с принципами подготовки управленческой отчетности по международным стандартам финансовой отчетности (МСФО).</w:t>
      </w:r>
    </w:p>
    <w:p w:rsidR="00583121" w:rsidRPr="00490279" w:rsidRDefault="00583121" w:rsidP="00583121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</w:pPr>
      <w:r w:rsidRPr="00490279">
        <w:rPr>
          <w:rFonts w:ascii="Arial" w:eastAsia="Times New Roman" w:hAnsi="Arial" w:cs="Arial"/>
          <w:i/>
          <w:snapToGrid w:val="0"/>
          <w:sz w:val="16"/>
          <w:szCs w:val="16"/>
          <w:lang w:eastAsia="ru-RU"/>
        </w:rPr>
        <w:t>В связи с различиями в методологии подготовки консолидированной финансовой и управленческой отчетности по МСФО показатели, рассчитанные по данным методикам, могут быть несопоставимы.</w:t>
      </w:r>
    </w:p>
    <w:p w:rsidR="00583121" w:rsidRPr="00490279" w:rsidRDefault="00583121" w:rsidP="00936F35">
      <w:pPr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br w:type="page"/>
      </w:r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lastRenderedPageBreak/>
        <w:t>Сведения об Открытом акционерном обществе «Нефтегазовая компания «Славнефть»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Полное фирменное наименование: Открытое акционерное общество «Нефтегазовая компания «Славнефть».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Сокращенное фирменное наименование: ОАО «НГК «Славнефть».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Место нахождения: Российская Федерация, г. Москва.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Почтовый адрес: 125047, Российская Федерация, г. Москва, 4-й Лесной переулок, дом 4.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Дата государственной регистрации Общества и регистрационный номер: Общество зарегистрировано Московской регистрационной палатой 26 августа 1994 года, свидетельство о регистрации № 033.530.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В Единый государственный реестр юридических лиц запись о ОАО «НГК «Славнефть» внесена 30 июля 2002 года Межрайонной инспекцией Министерства Российской Федерации по налогам и сборам № 39 по г. Москве: основной государственный регистрационный номер 1027739026270, свидетельство о регистрации серии 77 № 007436304.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Изменения, внесенные в учредительные документы ОАО «НГК «Славнефть»: зарегистрированы Межрайонной инспекцией Федеральной налоговой службы № 46 по г. Москве: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01 августа 2005 года за государственным регистрационным номером 2057747654391 (новая редакция устава Общества, утвержденная решением общего собрания акционеров 30 июня 2005 года, протокол № 23);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04 сентября 2006 года за государственным регистрационным номером 2067756557010 (изменения и дополнения в устав Общества, утвержденные решением общего собрания акционеров 29 июня 2006 года, протокол № 26).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07 августа 2008 года за государственным регистрационным номером 2087758956305 (изменения и дополнения в устав Общества, утвержденные решением общего собрания акционеров 27 июня 2008 года, протокол № 32).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03 декабря 2009 года за государственным регистрационным номером 7097748794906 (изменения и дополнения в устав Общества, утвержденные решением общего собрания акционеров 29 июня 2009 года, протокол № 36).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20 июля 2011 года за государственным регистрационным номером 2117747218763 (изменения и дополнения в устав Общества, утвержденные решением общего собрания акционеров 29 июня 2011 года, протокол № 41).</w:t>
      </w:r>
    </w:p>
    <w:p w:rsidR="00583121" w:rsidRPr="00490279" w:rsidRDefault="00583121" w:rsidP="00936F35">
      <w:pPr>
        <w:widowControl w:val="0"/>
        <w:spacing w:after="0"/>
        <w:ind w:firstLine="72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02 сентября 2011 года за государственным регистрационным номером 6117747322302 (изменения и дополнения в устав Общества, утвержденные решением Совета директоров 17 августа 2011 года, протокол № 3).</w:t>
      </w:r>
    </w:p>
    <w:p w:rsidR="00B33285" w:rsidRPr="00490279" w:rsidRDefault="00B33285" w:rsidP="00936F35">
      <w:pPr>
        <w:autoSpaceDE w:val="0"/>
        <w:autoSpaceDN w:val="0"/>
        <w:adjustRightInd w:val="0"/>
        <w:spacing w:after="0"/>
        <w:ind w:firstLine="708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23 июля 2012 года за государственным регистрационным номером 2127747248990 (изменения и дополнения в устав Общества, утвержденные решением общего собрания акционеров 29 июня 2012 года, протокол №44</w:t>
      </w:r>
      <w:r w:rsidR="00B010B4"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)</w:t>
      </w:r>
      <w:r w:rsidR="00F842CF"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.</w:t>
      </w:r>
    </w:p>
    <w:p w:rsidR="00583121" w:rsidRPr="00490279" w:rsidRDefault="00583121" w:rsidP="00936F35">
      <w:pPr>
        <w:keepLines/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Сведения об</w:t>
      </w:r>
      <w:r w:rsidR="00B010B4"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 xml:space="preserve"> уставном капитале на 01.01.2013</w:t>
      </w: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 xml:space="preserve"> г.: уставный капитал Общества составляет 4 754 238 руб. и складывается из 4 754 238 000 штук обыкновенных именных бездокументарных акций номинальной стоимостью 0,001 руб. (государственный регистрационный номер выпуска 1-01-00221-А от 17.06.2003 г.).</w:t>
      </w:r>
    </w:p>
    <w:p w:rsidR="00583121" w:rsidRPr="00490279" w:rsidRDefault="00583121" w:rsidP="00936F35">
      <w:pPr>
        <w:keepLines/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Реестродержатель: Открытое акционерное общество «Регистратор Р.О.С.Т.», лицензия № 10</w:t>
      </w: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noBreakHyphen/>
        <w:t>000</w:t>
      </w: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noBreakHyphen/>
        <w:t>1</w:t>
      </w: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noBreakHyphen/>
        <w:t>00264 выдана ФКЦБ России 03 декабря 2002 года.</w:t>
      </w:r>
    </w:p>
    <w:p w:rsidR="009C7062" w:rsidRPr="00490279" w:rsidRDefault="00583121" w:rsidP="00936F35">
      <w:pPr>
        <w:keepLines/>
        <w:widowControl w:val="0"/>
        <w:spacing w:after="0"/>
        <w:jc w:val="both"/>
        <w:rPr>
          <w:rFonts w:ascii="Arial" w:eastAsia="Times New Roman" w:hAnsi="Arial" w:cs="Arial"/>
          <w:strike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Аудитор Общества: Закрытое акционерное общество «ПрайсвотерхаусКуперс Аудит» имеет свидетельство о государственной регистрации акционерного общества № 008.890, выданное Московской регистрационной палатой 28 февраля 1992 года, свидетельство о внесении в единый государственный реестр № 1027700148431, выданное 22 августа 2002 года ИМНС России № 39</w:t>
      </w:r>
      <w:r w:rsidR="009C7062"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. Является членом саморегулируемой организации аудиторов «Аудиторская палата России».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 xml:space="preserve">Информация об Обществе публикуется в газетах «Известия», «Советская Белоруссия», а также  размещается на индивидуальной странице в системе раскрытия информации в сети Интернет: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http://www. e-disclosure.ru/portal/company.aspx?id=560</w:t>
      </w:r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 xml:space="preserve">, на сайте Общества: </w:t>
      </w:r>
      <w:hyperlink r:id="rId11" w:history="1">
        <w:r w:rsidRPr="00490279">
          <w:rPr>
            <w:rFonts w:ascii="Arial" w:eastAsia="Times New Roman" w:hAnsi="Arial" w:cs="Arial"/>
            <w:snapToGrid w:val="0"/>
            <w:sz w:val="18"/>
            <w:szCs w:val="18"/>
            <w:lang w:eastAsia="ru-RU"/>
          </w:rPr>
          <w:t>www.slavneft.ru</w:t>
        </w:r>
      </w:hyperlink>
      <w:r w:rsidRPr="00490279">
        <w:rPr>
          <w:rFonts w:ascii="Arial" w:eastAsia="Times New Roman" w:hAnsi="Arial" w:cs="Arial"/>
          <w:snapToGrid w:val="0"/>
          <w:sz w:val="18"/>
          <w:szCs w:val="18"/>
          <w:lang w:eastAsia="ru-RU"/>
        </w:rPr>
        <w:t>.</w:t>
      </w:r>
      <w:bookmarkStart w:id="5" w:name="_Toc324929502"/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keepLines/>
        <w:spacing w:after="120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  <w:bookmarkStart w:id="6" w:name="_Toc355077714"/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>Положение в отрасли</w:t>
      </w:r>
      <w:bookmarkEnd w:id="6"/>
    </w:p>
    <w:p w:rsidR="00583121" w:rsidRPr="00490279" w:rsidRDefault="00583121" w:rsidP="00936F35">
      <w:pPr>
        <w:keepNext/>
        <w:keepLines/>
        <w:widowControl w:val="0"/>
        <w:spacing w:after="120"/>
        <w:ind w:left="720"/>
        <w:contextualSpacing/>
        <w:jc w:val="center"/>
        <w:outlineLvl w:val="0"/>
        <w:rPr>
          <w:rFonts w:ascii="Arial" w:eastAsia="Times New Roman" w:hAnsi="Arial" w:cs="Arial"/>
          <w:b/>
          <w:kern w:val="28"/>
          <w:sz w:val="20"/>
          <w:szCs w:val="20"/>
          <w:lang w:eastAsia="ru-RU"/>
        </w:rPr>
      </w:pPr>
    </w:p>
    <w:p w:rsidR="00583121" w:rsidRPr="00490279" w:rsidRDefault="00583121" w:rsidP="00936F35">
      <w:pPr>
        <w:keepNext/>
        <w:keepLines/>
        <w:widowControl w:val="0"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ОАО «НГК «Славнефть» входит в число крупнейших российских нефтяных компаний с вертикально интегрированной структурой. В 2012 году основные производственные показатели по Компании составили:</w:t>
      </w:r>
    </w:p>
    <w:p w:rsidR="00583121" w:rsidRPr="00490279" w:rsidRDefault="00583121" w:rsidP="00936F35">
      <w:pPr>
        <w:keepNext/>
        <w:keepLines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pacing w:val="-8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объем остаточных извлекаемых запасов нефти (категории АВС</w:t>
      </w:r>
      <w:r w:rsidRPr="00490279">
        <w:rPr>
          <w:rFonts w:ascii="Arial" w:eastAsia="Times New Roman" w:hAnsi="Arial" w:cs="Arial"/>
          <w:spacing w:val="-8"/>
          <w:sz w:val="18"/>
          <w:szCs w:val="18"/>
          <w:vertAlign w:val="subscript"/>
          <w:lang w:eastAsia="ru-RU"/>
        </w:rPr>
        <w:t>1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) – </w:t>
      </w:r>
      <w:r w:rsidRPr="00490279">
        <w:rPr>
          <w:rFonts w:ascii="Arial" w:eastAsia="Times New Roman" w:hAnsi="Arial" w:cs="Arial"/>
          <w:bCs/>
          <w:spacing w:val="-8"/>
          <w:sz w:val="18"/>
          <w:szCs w:val="18"/>
          <w:lang w:eastAsia="ru-RU"/>
        </w:rPr>
        <w:t>678,1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 xml:space="preserve"> млн тонн (на 01.01.2013);</w:t>
      </w:r>
    </w:p>
    <w:p w:rsidR="00583121" w:rsidRPr="00490279" w:rsidRDefault="00583121" w:rsidP="00936F35">
      <w:pPr>
        <w:keepNext/>
        <w:keepLines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добыча нефти – 17,864  млн тонн;</w:t>
      </w:r>
    </w:p>
    <w:p w:rsidR="00583121" w:rsidRPr="00490279" w:rsidRDefault="00583121" w:rsidP="00936F35">
      <w:pPr>
        <w:keepNext/>
        <w:keepLines/>
        <w:widowControl w:val="0"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переработка углеводородного сырья - 26,4 млн тонн, в том числе 15,3 – на российском НПЗ Компании – ОАО «Славнефть-ЯНОС».</w:t>
      </w:r>
    </w:p>
    <w:p w:rsidR="00583121" w:rsidRPr="00490279" w:rsidRDefault="00583121" w:rsidP="00936F35">
      <w:pPr>
        <w:widowControl w:val="0"/>
        <w:spacing w:after="0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keepLines/>
        <w:spacing w:after="120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  <w:bookmarkStart w:id="7" w:name="_Toc355077715"/>
      <w:bookmarkEnd w:id="0"/>
      <w:bookmarkEnd w:id="5"/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lastRenderedPageBreak/>
        <w:t>Уставный капитал ОАО «НГК «Славнефть».</w:t>
      </w:r>
      <w:r w:rsidR="003512BF" w:rsidRPr="003512BF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 xml:space="preserve">                                                                                                          </w:t>
      </w:r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>Акционеры и номинальные держатели ОАО «НГК «Славнефть»</w:t>
      </w:r>
      <w:bookmarkEnd w:id="7"/>
    </w:p>
    <w:p w:rsidR="00583121" w:rsidRDefault="00583121" w:rsidP="00936F35">
      <w:pPr>
        <w:keepNext/>
        <w:keepLines/>
        <w:spacing w:after="0"/>
        <w:jc w:val="center"/>
        <w:rPr>
          <w:rFonts w:ascii="Arial" w:hAnsi="Arial" w:cs="Arial"/>
          <w:b/>
          <w:smallCaps/>
          <w:kern w:val="28"/>
          <w:sz w:val="18"/>
          <w:szCs w:val="18"/>
        </w:rPr>
      </w:pPr>
    </w:p>
    <w:p w:rsidR="00936F35" w:rsidRPr="00490279" w:rsidRDefault="00936F35" w:rsidP="00936F35">
      <w:pPr>
        <w:keepNext/>
        <w:keepLines/>
        <w:spacing w:after="0"/>
        <w:jc w:val="center"/>
        <w:rPr>
          <w:rFonts w:ascii="Arial" w:hAnsi="Arial" w:cs="Arial"/>
          <w:b/>
          <w:smallCaps/>
          <w:kern w:val="28"/>
          <w:sz w:val="18"/>
          <w:szCs w:val="18"/>
        </w:rPr>
      </w:pPr>
    </w:p>
    <w:p w:rsidR="00583121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Уставный капитал Компании составляет 4 754 238 руб. и разделен на 4 754 238 000 обыкновенных акций</w:t>
      </w:r>
      <w:r w:rsidR="00950D1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950D12" w:rsidRDefault="00950D12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Default="00583121" w:rsidP="00936F35">
      <w:pPr>
        <w:keepNext/>
        <w:keepLines/>
        <w:spacing w:after="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состоянию на 01.01.2013 общее количество лицевых счетов составило 3</w:t>
      </w:r>
      <w:r w:rsidR="00936F35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601</w:t>
      </w:r>
    </w:p>
    <w:p w:rsidR="00936F35" w:rsidRPr="00490279" w:rsidRDefault="00936F35" w:rsidP="00936F35">
      <w:pPr>
        <w:keepNext/>
        <w:keepLines/>
        <w:spacing w:after="0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1"/>
        <w:gridCol w:w="1499"/>
        <w:gridCol w:w="1630"/>
        <w:gridCol w:w="1418"/>
      </w:tblGrid>
      <w:tr w:rsidR="00E2601E" w:rsidRPr="00490279" w:rsidTr="00DC618E">
        <w:trPr>
          <w:trHeight w:val="388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Структура акционерного капитала</w:t>
            </w:r>
          </w:p>
        </w:tc>
      </w:tr>
      <w:tr w:rsidR="00E2601E" w:rsidRPr="00490279" w:rsidTr="00DC618E">
        <w:trPr>
          <w:trHeight w:val="602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Акционеры и номинальные держатели</w:t>
            </w:r>
          </w:p>
        </w:tc>
        <w:tc>
          <w:tcPr>
            <w:tcW w:w="14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 xml:space="preserve">Количество 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Количество акций, шт.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Доля в уставном капитале, %</w:t>
            </w:r>
          </w:p>
        </w:tc>
      </w:tr>
      <w:tr w:rsidR="00E2601E" w:rsidRPr="00490279" w:rsidTr="00DC618E">
        <w:trPr>
          <w:trHeight w:val="277"/>
        </w:trPr>
        <w:tc>
          <w:tcPr>
            <w:tcW w:w="5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Резиденты Российской Федерации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3 462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4 753 978 989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99,99455190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Юридические лица, включая номинальных держателей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4 750 158 140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99,91418478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ind w:left="63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В т.ч. номинальные держатели, доля каждого из которых в уставном капитале составляет не менее 1%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tabs>
                <w:tab w:val="left" w:pos="225"/>
              </w:tabs>
              <w:spacing w:after="0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4 749 739 747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99,90538435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Физические  лица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3 449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3 820 849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0,08036722</w:t>
            </w:r>
          </w:p>
        </w:tc>
      </w:tr>
      <w:tr w:rsidR="00E2601E" w:rsidRPr="00490279" w:rsidTr="00DC618E">
        <w:trPr>
          <w:trHeight w:val="364"/>
        </w:trPr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Нерезиденты Российской Федерации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250 459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0,00526812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Юридические лица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100 021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0,00210383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Физические лица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150 438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0,00316429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7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Физические лица, данные о юрисдикции которых отсутствуют в реестре</w:t>
            </w:r>
          </w:p>
        </w:tc>
        <w:tc>
          <w:tcPr>
            <w:tcW w:w="1499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8 552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0,00017988</w:t>
            </w:r>
          </w:p>
        </w:tc>
      </w:tr>
      <w:tr w:rsidR="00E2601E" w:rsidRPr="00490279" w:rsidTr="00DC618E">
        <w:tc>
          <w:tcPr>
            <w:tcW w:w="5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271" w:type="dxa"/>
            <w:tcBorders>
              <w:left w:val="double" w:sz="4" w:space="0" w:color="auto"/>
              <w:bottom w:val="double" w:sz="4" w:space="0" w:color="auto"/>
            </w:tcBorders>
          </w:tcPr>
          <w:p w:rsidR="00583121" w:rsidRPr="00490279" w:rsidRDefault="00583121" w:rsidP="00936F35">
            <w:pPr>
              <w:keepNext/>
              <w:keepLines/>
              <w:spacing w:after="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3 601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4 754 238 000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napToGrid w:val="0"/>
                <w:sz w:val="18"/>
                <w:szCs w:val="18"/>
                <w:lang w:eastAsia="ru-RU"/>
              </w:rPr>
              <w:t>100,00000000</w:t>
            </w:r>
          </w:p>
        </w:tc>
      </w:tr>
    </w:tbl>
    <w:p w:rsidR="00583121" w:rsidRDefault="00583121" w:rsidP="00936F35">
      <w:pPr>
        <w:keepNext/>
        <w:keepLines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периоде Компания собственных акций не приобретала.</w:t>
      </w:r>
    </w:p>
    <w:p w:rsidR="00936F35" w:rsidRPr="00490279" w:rsidRDefault="00936F35" w:rsidP="00936F35">
      <w:pPr>
        <w:keepNext/>
        <w:keepLines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Список акционеров, владеющих не менее чем 5% уставного капитала ОАО «НГК «Славнефть» (по состоянию на 29.11.2012 г.): </w:t>
      </w:r>
    </w:p>
    <w:p w:rsidR="00936F35" w:rsidRPr="00490279" w:rsidRDefault="00936F35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111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6401"/>
        <w:gridCol w:w="2069"/>
      </w:tblGrid>
      <w:tr w:rsidR="00E2601E" w:rsidRPr="00490279" w:rsidTr="00DC618E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№ 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vertAlign w:val="superscript"/>
                <w:lang w:eastAsia="ru-RU"/>
              </w:rPr>
              <w:t>п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/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vertAlign w:val="subscript"/>
                <w:lang w:eastAsia="ru-RU"/>
              </w:rPr>
              <w:t>п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Акционер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Доля в уставном капитале, %</w:t>
            </w:r>
          </w:p>
        </w:tc>
      </w:tr>
      <w:tr w:rsidR="00E2601E" w:rsidRPr="00490279" w:rsidTr="00DC618E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«Инвест-Ойл»</w:t>
            </w:r>
          </w:p>
        </w:tc>
        <w:tc>
          <w:tcPr>
            <w:tcW w:w="2092" w:type="dxa"/>
            <w:tcBorders>
              <w:top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74,9570 %</w:t>
            </w:r>
          </w:p>
        </w:tc>
      </w:tr>
      <w:tr w:rsidR="00E2601E" w:rsidRPr="00490279" w:rsidTr="00DC618E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21" w:type="dxa"/>
            <w:tcBorders>
              <w:lef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Stranberg Investments Limited</w:t>
            </w:r>
          </w:p>
        </w:tc>
        <w:tc>
          <w:tcPr>
            <w:tcW w:w="2092" w:type="dxa"/>
            <w:tcBorders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11,5772 %</w:t>
            </w:r>
          </w:p>
        </w:tc>
      </w:tr>
      <w:tr w:rsidR="00E2601E" w:rsidRPr="00490279" w:rsidTr="00DC618E"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21" w:type="dxa"/>
            <w:tcBorders>
              <w:left w:val="double" w:sz="4" w:space="0" w:color="auto"/>
              <w:bottom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Select Holdings Limited</w:t>
            </w:r>
          </w:p>
        </w:tc>
        <w:tc>
          <w:tcPr>
            <w:tcW w:w="2092" w:type="dxa"/>
            <w:tcBorders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936F3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7,7037 %</w:t>
            </w:r>
          </w:p>
        </w:tc>
      </w:tr>
    </w:tbl>
    <w:p w:rsidR="00583121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Номинальные держатели, на счетах которых учитывается  более 1 % голосующих акций ОАО «НГК «Славнефть» по состоянию на 01.01.2013:</w:t>
      </w:r>
    </w:p>
    <w:p w:rsidR="00936F35" w:rsidRPr="00490279" w:rsidRDefault="00936F35" w:rsidP="00936F35">
      <w:pPr>
        <w:keepNext/>
        <w:keepLines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6546"/>
        <w:gridCol w:w="2126"/>
      </w:tblGrid>
      <w:tr w:rsidR="00E2601E" w:rsidRPr="00490279" w:rsidTr="00DC618E">
        <w:trPr>
          <w:cantSplit/>
          <w:trHeight w:val="428"/>
          <w:tblHeader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№ 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vertAlign w:val="superscript"/>
                <w:lang w:eastAsia="ru-RU"/>
              </w:rPr>
              <w:t>п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/</w:t>
            </w: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vertAlign w:val="subscript"/>
                <w:lang w:eastAsia="ru-RU"/>
              </w:rPr>
              <w:t>п</w:t>
            </w:r>
          </w:p>
        </w:tc>
        <w:tc>
          <w:tcPr>
            <w:tcW w:w="6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Номинальные держатели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ru-RU"/>
              </w:rPr>
              <w:t>Доля в уставном капитале, %.</w:t>
            </w:r>
          </w:p>
        </w:tc>
      </w:tr>
      <w:tr w:rsidR="00E2601E" w:rsidRPr="00490279" w:rsidTr="00DC618E">
        <w:trPr>
          <w:cantSplit/>
          <w:trHeight w:val="411"/>
        </w:trPr>
        <w:tc>
          <w:tcPr>
            <w:tcW w:w="6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"Дойче Банк" Общество с ограниченной ответственностью</w:t>
            </w:r>
          </w:p>
          <w:p w:rsidR="00583121" w:rsidRPr="00490279" w:rsidRDefault="00583121" w:rsidP="00936F35">
            <w:pPr>
              <w:widowControl w:val="0"/>
              <w:spacing w:after="0"/>
              <w:ind w:firstLine="567"/>
              <w:jc w:val="both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10.8343</w:t>
            </w:r>
          </w:p>
        </w:tc>
      </w:tr>
      <w:tr w:rsidR="00E2601E" w:rsidRPr="00490279" w:rsidTr="00DC618E">
        <w:trPr>
          <w:cantSplit/>
          <w:trHeight w:val="340"/>
        </w:trPr>
        <w:tc>
          <w:tcPr>
            <w:tcW w:w="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46" w:type="dxa"/>
            <w:tcBorders>
              <w:lef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"Ю Би Эс Номиниз"</w:t>
            </w:r>
          </w:p>
          <w:p w:rsidR="00583121" w:rsidRPr="00490279" w:rsidRDefault="00583121" w:rsidP="00936F3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13.1726</w:t>
            </w:r>
          </w:p>
        </w:tc>
      </w:tr>
      <w:tr w:rsidR="00E2601E" w:rsidRPr="00490279" w:rsidTr="00DC618E">
        <w:trPr>
          <w:cantSplit/>
          <w:trHeight w:val="261"/>
        </w:trPr>
        <w:tc>
          <w:tcPr>
            <w:tcW w:w="6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46" w:type="dxa"/>
            <w:tcBorders>
              <w:lef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Небанковская кредитная организация закрытое акционерное общество "Национальный расчетный депозитарий"</w:t>
            </w:r>
          </w:p>
          <w:p w:rsidR="00583121" w:rsidRPr="00490279" w:rsidRDefault="00583121" w:rsidP="00936F3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spacing w:after="0"/>
              <w:ind w:left="-57" w:right="-5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75.8403</w:t>
            </w:r>
          </w:p>
        </w:tc>
      </w:tr>
      <w:tr w:rsidR="00E2601E" w:rsidRPr="00490279" w:rsidTr="00DC618E">
        <w:trPr>
          <w:cantSplit/>
          <w:trHeight w:val="311"/>
        </w:trPr>
        <w:tc>
          <w:tcPr>
            <w:tcW w:w="6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5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</w:rPr>
              <w:t>Всего: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936F35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99.8472</w:t>
            </w:r>
          </w:p>
        </w:tc>
      </w:tr>
    </w:tbl>
    <w:p w:rsidR="00583121" w:rsidRPr="00490279" w:rsidRDefault="00583121" w:rsidP="00936F35"/>
    <w:p w:rsidR="00583121" w:rsidRPr="00490279" w:rsidRDefault="00583121" w:rsidP="003512BF">
      <w:pPr>
        <w:keepNext/>
        <w:keepLines/>
        <w:spacing w:after="120"/>
        <w:ind w:left="720"/>
        <w:contextualSpacing/>
        <w:jc w:val="center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  <w:bookmarkStart w:id="8" w:name="_Toc355077716"/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lastRenderedPageBreak/>
        <w:t>Перечень дочерних и зависимых обществ ОАО «НГК «Славнефть»</w:t>
      </w:r>
      <w:r w:rsidR="003512BF" w:rsidRPr="003512BF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 xml:space="preserve">                                                                    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(по состоянию на 01.01.201</w:t>
      </w:r>
      <w:r w:rsidRPr="003512BF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)</w:t>
      </w:r>
      <w:bookmarkEnd w:id="8"/>
    </w:p>
    <w:p w:rsidR="00583121" w:rsidRPr="00490279" w:rsidRDefault="00583121" w:rsidP="00936F35">
      <w:pPr>
        <w:keepNext/>
        <w:keepLines/>
        <w:spacing w:after="120"/>
        <w:ind w:left="1080"/>
        <w:contextualSpacing/>
        <w:jc w:val="center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"/>
        <w:gridCol w:w="3402"/>
        <w:gridCol w:w="2552"/>
        <w:gridCol w:w="1630"/>
        <w:gridCol w:w="1205"/>
      </w:tblGrid>
      <w:tr w:rsidR="00E2601E" w:rsidRPr="00490279" w:rsidTr="00DC618E">
        <w:trPr>
          <w:cantSplit/>
          <w:trHeight w:val="204"/>
          <w:tblHeader/>
        </w:trPr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Наименование общества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Доля Компании, %</w:t>
            </w:r>
          </w:p>
        </w:tc>
      </w:tr>
      <w:tr w:rsidR="00E2601E" w:rsidRPr="00490279" w:rsidTr="00DC618E">
        <w:trPr>
          <w:cantSplit/>
          <w:trHeight w:val="238"/>
          <w:tblHeader/>
        </w:trPr>
        <w:tc>
          <w:tcPr>
            <w:tcW w:w="5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уставном</w:t>
            </w: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капитале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голосующих</w:t>
            </w: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br/>
              <w:t>акциях</w:t>
            </w:r>
          </w:p>
        </w:tc>
      </w:tr>
      <w:tr w:rsidR="00E2601E" w:rsidRPr="00490279" w:rsidTr="00DC618E">
        <w:trPr>
          <w:cantSplit/>
          <w:trHeight w:val="108"/>
          <w:tblHeader/>
        </w:trPr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Полное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Сокращенное</w:t>
            </w:r>
          </w:p>
        </w:tc>
        <w:tc>
          <w:tcPr>
            <w:tcW w:w="1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E2601E" w:rsidRPr="00490279" w:rsidTr="00DC618E">
        <w:trPr>
          <w:trHeight w:val="284"/>
        </w:trPr>
        <w:tc>
          <w:tcPr>
            <w:tcW w:w="9356" w:type="dxa"/>
            <w:gridSpan w:val="6"/>
            <w:tcBorders>
              <w:top w:val="nil"/>
            </w:tcBorders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1. Дочерние общества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«Славнефть-Мегионнефтегаз»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«СН-МНГ»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56,42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69,12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«Славнефть-Мегионнефтегазгеология»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«СН-МНГГ»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94,07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97,51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3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«Соболь»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«Соболь»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62,25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62,25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«Обьнефтегеология»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«Обьнефтегеология»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«Обьнефтегазгеология»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«ОНГГ»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79,67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79,67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«Славнефть-Нижневартовск»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 «Славнефть-Нижневартовск»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99,985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«Славнефть-Красноярскнефтегаз»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 «Славнефть-Красноярскнефтегаз»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99,993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«Славнефть-Ярославнефтеоргсинтез»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«Славнефть-ЯНОС»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39,20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50,78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«Славнефть-Ярославнефтепродукт»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«Славнефть-Ярославнефтепродукт»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65,13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80,28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«Славнефть - М»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«Славнефть-М»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99,97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«Славнефть - Центрнефтепродукт»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«Славнефть-Центрнефтепродукт»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99,23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99,23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«Славнефть - Эстейт»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«Славнефть-Эстейт»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 «Славнефть-Холдинг,  АГ»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«Славнефть-Холдинг АГ»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«Славвекс»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«Славвекс»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«Топливно-заправочный комплекс «Славнефть-Туношна»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 «ТЗК «Славнефть-Туношна»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97,29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97,29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«Реализация – Т»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 «Реализация-Т»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95,45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«Славнефть - Научно-производственный центр»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 «Славнефть-НПЦ»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"Славнефть-Логистика"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"Славнефть-Логистика"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E2601E" w:rsidRPr="00490279" w:rsidTr="00DC618E">
        <w:trPr>
          <w:trHeight w:val="284"/>
        </w:trPr>
        <w:tc>
          <w:tcPr>
            <w:tcW w:w="9356" w:type="dxa"/>
            <w:gridSpan w:val="6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2. Зависимые общества</w:t>
            </w:r>
          </w:p>
        </w:tc>
      </w:tr>
      <w:tr w:rsidR="00E2601E" w:rsidRPr="00490279" w:rsidTr="00DC618E">
        <w:trPr>
          <w:trHeight w:val="284"/>
        </w:trPr>
        <w:tc>
          <w:tcPr>
            <w:tcW w:w="54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429" w:type="dxa"/>
            <w:gridSpan w:val="2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Открытое акционерное общество «Мозырский нефтеперерабатываю</w:t>
            </w:r>
            <w:r w:rsidR="00936F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щий завод»</w:t>
            </w:r>
          </w:p>
        </w:tc>
        <w:tc>
          <w:tcPr>
            <w:tcW w:w="2552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«Мозырский НПЗ»</w:t>
            </w:r>
          </w:p>
        </w:tc>
        <w:tc>
          <w:tcPr>
            <w:tcW w:w="1630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42,58</w:t>
            </w:r>
          </w:p>
        </w:tc>
        <w:tc>
          <w:tcPr>
            <w:tcW w:w="1205" w:type="dxa"/>
            <w:vAlign w:val="center"/>
          </w:tcPr>
          <w:p w:rsidR="00583121" w:rsidRPr="00490279" w:rsidRDefault="00583121" w:rsidP="00936F35">
            <w:pPr>
              <w:keepNext/>
              <w:keepLines/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42,58</w:t>
            </w:r>
          </w:p>
        </w:tc>
      </w:tr>
    </w:tbl>
    <w:p w:rsidR="00583121" w:rsidRDefault="00583121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936F35" w:rsidRPr="00490279" w:rsidRDefault="00936F35" w:rsidP="00583121">
      <w:pPr>
        <w:keepNext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br w:type="page"/>
      </w:r>
    </w:p>
    <w:p w:rsidR="00583121" w:rsidRPr="00490279" w:rsidRDefault="00583121" w:rsidP="00583121">
      <w:pPr>
        <w:keepNext/>
        <w:keepLines/>
        <w:widowControl w:val="0"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" w:name="_Toc355077717"/>
      <w:bookmarkEnd w:id="1"/>
      <w:bookmarkEnd w:id="2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lastRenderedPageBreak/>
        <w:t>Приоритетные направления деятельности</w:t>
      </w:r>
      <w:bookmarkEnd w:id="9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p w:rsidR="00583121" w:rsidRPr="00490279" w:rsidRDefault="00583121" w:rsidP="00583121">
      <w:pPr>
        <w:keepNext/>
        <w:keepLines/>
        <w:widowControl w:val="0"/>
        <w:spacing w:after="120" w:line="240" w:lineRule="auto"/>
        <w:ind w:left="72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936F35">
      <w:pPr>
        <w:keepNext/>
        <w:keepLines/>
        <w:spacing w:after="0"/>
        <w:jc w:val="center"/>
        <w:outlineLvl w:val="0"/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</w:pPr>
      <w:bookmarkStart w:id="10" w:name="_Toc199326809"/>
      <w:bookmarkStart w:id="11" w:name="_Toc259626847"/>
      <w:bookmarkStart w:id="12" w:name="_Toc324929514"/>
      <w:bookmarkStart w:id="13" w:name="_Toc355077718"/>
      <w:bookmarkStart w:id="14" w:name="_Toc68945199"/>
      <w:bookmarkStart w:id="15" w:name="_Toc68945587"/>
      <w:bookmarkStart w:id="16" w:name="_Toc68945699"/>
      <w:bookmarkStart w:id="17" w:name="_Toc68949694"/>
      <w:bookmarkStart w:id="18" w:name="_Toc73457938"/>
      <w:bookmarkStart w:id="19" w:name="_Toc73511032"/>
      <w:bookmarkStart w:id="20" w:name="_Toc105321530"/>
      <w:bookmarkStart w:id="21" w:name="_Ref112826388"/>
      <w:bookmarkStart w:id="22" w:name="_Toc131858685"/>
      <w:r w:rsidRPr="00490279"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  <w:t>Геология и нефтедобыча</w:t>
      </w:r>
      <w:bookmarkEnd w:id="10"/>
      <w:bookmarkEnd w:id="11"/>
      <w:bookmarkEnd w:id="12"/>
      <w:bookmarkEnd w:id="13"/>
    </w:p>
    <w:p w:rsidR="00583121" w:rsidRPr="00490279" w:rsidRDefault="00583121" w:rsidP="00936F35">
      <w:pPr>
        <w:keepNext/>
        <w:keepLines/>
        <w:spacing w:after="0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keepLines/>
        <w:spacing w:after="0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23" w:name="_Toc199326810"/>
      <w:bookmarkStart w:id="24" w:name="_Toc259626848"/>
      <w:bookmarkStart w:id="25" w:name="_Toc324929515"/>
      <w:bookmarkStart w:id="26" w:name="_Toc355077719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Ресурсная база</w:t>
      </w:r>
      <w:bookmarkEnd w:id="23"/>
      <w:bookmarkEnd w:id="24"/>
      <w:bookmarkEnd w:id="25"/>
      <w:bookmarkEnd w:id="26"/>
    </w:p>
    <w:p w:rsidR="00583121" w:rsidRPr="00490279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smallCaps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bookmarkStart w:id="27" w:name="_Toc259626849"/>
      <w:bookmarkStart w:id="28" w:name="_Toc199326812"/>
      <w:bookmarkStart w:id="29" w:name="_Toc165539231"/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По состоянию на 01.01.2013 года </w:t>
      </w:r>
      <w:r w:rsidR="00DC748C">
        <w:rPr>
          <w:rFonts w:ascii="Arial" w:eastAsia="Times New Roman" w:hAnsi="Arial" w:cs="Arial"/>
          <w:bCs/>
          <w:sz w:val="18"/>
          <w:szCs w:val="18"/>
          <w:lang w:eastAsia="ru-RU"/>
        </w:rPr>
        <w:t>объем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остаточных извлекаемых запасов нефти группы Славнефть составил по категории АВС</w:t>
      </w:r>
      <w:r w:rsidRPr="00490279">
        <w:rPr>
          <w:rFonts w:ascii="Arial" w:eastAsia="Times New Roman" w:hAnsi="Arial" w:cs="Arial"/>
          <w:bCs/>
          <w:sz w:val="18"/>
          <w:szCs w:val="18"/>
          <w:vertAlign w:val="subscript"/>
          <w:lang w:eastAsia="ru-RU"/>
        </w:rPr>
        <w:t>1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– 678,1 млн т, в том числе в Западной Сибири (ХМАО) –525,2 млн т, в Красноярском крае – 152,9 млн т. Прирост извлекаемых запасов нефти категории С1 в целом по группе Славнефть в 2012 году составил 21,2 млн т, в том числе за счет геологоразведочных работ (ГРР) составил 8,49 млн т (в том числе по Красноярскому краю – 1,535 млн т).</w:t>
      </w:r>
    </w:p>
    <w:p w:rsidR="00583121" w:rsidRPr="00490279" w:rsidRDefault="00583121" w:rsidP="00936F35">
      <w:pPr>
        <w:keepNext/>
        <w:keepLines/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Развитие ресурсной базы в отчетном периоде осуществлялось за счет выполнения комплекса геологоразведочных работ. Общий объем работ в 2012 году в денежном выражении без НДС составил 2,8 млрд. руб., против 2,6 млрд. руб. за аналогичный период прошлого года. Статический план выполнен на 96,1%, при выполнении плана по Мегионскому блоку на 95,0%, а по ООО «Славнефть-Красноярскнефтегаз» – на 97,7%.</w:t>
      </w:r>
    </w:p>
    <w:p w:rsidR="00583121" w:rsidRPr="00490279" w:rsidRDefault="00583121" w:rsidP="00936F35">
      <w:pPr>
        <w:keepNext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За 2012 год по ХМАО (Мегионский блок) объемы геологоразведочного бурения в физическом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выражении были выполнены на 99%, что обусловлено уточнением абсолютных отметок целевых горизонтов. В Красноярском крае в отчетном периоде выполнялось бурение поисковых скважин. Объем работ выполнен на 73%, в связи с опережающим бурением в </w:t>
      </w:r>
      <w:r w:rsidRPr="00490279">
        <w:rPr>
          <w:rFonts w:ascii="Arial" w:eastAsia="Times New Roman" w:hAnsi="Arial" w:cs="Arial"/>
          <w:sz w:val="18"/>
          <w:szCs w:val="18"/>
          <w:lang w:val="en-US" w:eastAsia="ru-RU"/>
        </w:rPr>
        <w:t>IV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квартале 2011г  поисковой  скважины А-2 на Абракупчинском ЛУ. В целом по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группе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геологоразведочное бурение было выполнено на 94%. </w:t>
      </w:r>
    </w:p>
    <w:p w:rsidR="00583121" w:rsidRDefault="00583121" w:rsidP="00936F35">
      <w:pPr>
        <w:keepNext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Сейсморазведка 3</w:t>
      </w:r>
      <w:r w:rsidRPr="00490279">
        <w:rPr>
          <w:rFonts w:ascii="Arial" w:eastAsia="Times New Roman" w:hAnsi="Arial" w:cs="Arial"/>
          <w:sz w:val="18"/>
          <w:szCs w:val="18"/>
          <w:lang w:val="en-US" w:eastAsia="ru-RU"/>
        </w:rPr>
        <w:t>D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для задач ГРР – 566 км</w:t>
      </w:r>
      <w:r w:rsidRPr="0049027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и для задач разработки в ХМАО - 250 км</w:t>
      </w:r>
      <w:r w:rsidRPr="0049027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была выполнена в полном объеме. </w:t>
      </w:r>
    </w:p>
    <w:p w:rsidR="00936F35" w:rsidRPr="00490279" w:rsidRDefault="00936F35" w:rsidP="00936F35">
      <w:pPr>
        <w:keepNext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Таблица 1. Объем геологоразведочных работ по регионам деятельности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</w:p>
    <w:p w:rsidR="00583121" w:rsidRPr="00490279" w:rsidRDefault="00583121" w:rsidP="00936F35">
      <w:pPr>
        <w:keepNext/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tbl>
      <w:tblPr>
        <w:tblW w:w="9340" w:type="dxa"/>
        <w:tblInd w:w="85" w:type="dxa"/>
        <w:tblLook w:val="04A0" w:firstRow="1" w:lastRow="0" w:firstColumn="1" w:lastColumn="0" w:noHBand="0" w:noVBand="1"/>
      </w:tblPr>
      <w:tblGrid>
        <w:gridCol w:w="2520"/>
        <w:gridCol w:w="820"/>
        <w:gridCol w:w="1000"/>
        <w:gridCol w:w="1000"/>
        <w:gridCol w:w="1000"/>
        <w:gridCol w:w="1000"/>
        <w:gridCol w:w="1000"/>
        <w:gridCol w:w="1000"/>
      </w:tblGrid>
      <w:tr w:rsidR="00E2601E" w:rsidRPr="00490279" w:rsidTr="00DC618E">
        <w:trPr>
          <w:trHeight w:val="450"/>
        </w:trPr>
        <w:tc>
          <w:tcPr>
            <w:tcW w:w="25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Западная Сибирь (ХМАО)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Всего</w:t>
            </w:r>
          </w:p>
        </w:tc>
      </w:tr>
      <w:tr w:rsidR="00E2601E" w:rsidRPr="00490279" w:rsidTr="00DC618E">
        <w:trPr>
          <w:trHeight w:val="315"/>
        </w:trPr>
        <w:tc>
          <w:tcPr>
            <w:tcW w:w="25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2012 г.</w:t>
            </w:r>
          </w:p>
        </w:tc>
      </w:tr>
      <w:tr w:rsidR="00E2601E" w:rsidRPr="00490279" w:rsidTr="00DC618E">
        <w:trPr>
          <w:cantSplit/>
          <w:trHeight w:val="315"/>
        </w:trPr>
        <w:tc>
          <w:tcPr>
            <w:tcW w:w="2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проходки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тыс.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23,591</w:t>
            </w:r>
          </w:p>
        </w:tc>
      </w:tr>
      <w:tr w:rsidR="00E2601E" w:rsidRPr="00490279" w:rsidTr="00DC618E">
        <w:trPr>
          <w:cantSplit/>
          <w:trHeight w:val="300"/>
        </w:trPr>
        <w:tc>
          <w:tcPr>
            <w:tcW w:w="2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сейсморазведки 2D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E2601E" w:rsidRPr="00490279" w:rsidTr="00DC618E">
        <w:trPr>
          <w:cantSplit/>
          <w:trHeight w:val="300"/>
        </w:trPr>
        <w:tc>
          <w:tcPr>
            <w:tcW w:w="2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сейсморазведки 3D для ГРР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566</w:t>
            </w:r>
          </w:p>
        </w:tc>
      </w:tr>
      <w:tr w:rsidR="00E2601E" w:rsidRPr="00490279" w:rsidTr="00DC618E">
        <w:trPr>
          <w:cantSplit/>
          <w:trHeight w:val="300"/>
        </w:trPr>
        <w:tc>
          <w:tcPr>
            <w:tcW w:w="2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сейсморазведки 3D для Разработки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км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</w:tr>
      <w:tr w:rsidR="00E2601E" w:rsidRPr="00490279" w:rsidTr="00DC618E">
        <w:trPr>
          <w:cantSplit/>
          <w:trHeight w:val="465"/>
        </w:trPr>
        <w:tc>
          <w:tcPr>
            <w:tcW w:w="2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Прирост запасов  </w:t>
            </w:r>
          </w:p>
          <w:p w:rsidR="00583121" w:rsidRPr="00490279" w:rsidRDefault="00583121" w:rsidP="00936F35">
            <w:pPr>
              <w:keepNext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категории С1 по ГРР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млн т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6,955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1,535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83121" w:rsidRPr="00490279" w:rsidRDefault="00583121" w:rsidP="00936F35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8,5</w:t>
            </w:r>
          </w:p>
        </w:tc>
      </w:tr>
    </w:tbl>
    <w:p w:rsidR="00583121" w:rsidRPr="00490279" w:rsidRDefault="00583121" w:rsidP="00936F35">
      <w:pPr>
        <w:keepNext/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Геологоразведочные работы проводились силами предприятий группы Славнефть:</w:t>
      </w:r>
    </w:p>
    <w:p w:rsidR="00583121" w:rsidRPr="00490279" w:rsidRDefault="00583121" w:rsidP="00936F35">
      <w:pPr>
        <w:keepNext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ОАО «СН-МНГГ» на  Тайлаковском, Ачимовском, Южно-Островном лицензионных участках (ХМАО);</w:t>
      </w:r>
    </w:p>
    <w:p w:rsidR="00583121" w:rsidRPr="00490279" w:rsidRDefault="00583121" w:rsidP="00936F35">
      <w:pPr>
        <w:keepNext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ОАО «ОНГГ» на Западно-Усть-Балыкском, Тайлаковском ЛУ (ХМАО);</w:t>
      </w:r>
    </w:p>
    <w:p w:rsidR="00583121" w:rsidRPr="00490279" w:rsidRDefault="00583121" w:rsidP="00936F35">
      <w:pPr>
        <w:keepNext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ООО «БНГРЭ» на Терско-Камовском, Абракупчинском лицензионных участках (Красноярский край).</w:t>
      </w:r>
    </w:p>
    <w:p w:rsidR="00583121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keepNext/>
        <w:spacing w:after="0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30" w:name="_Toc324929516"/>
      <w:bookmarkStart w:id="31" w:name="_Toc355077720"/>
      <w:bookmarkEnd w:id="27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Добыча нефти</w:t>
      </w:r>
      <w:bookmarkEnd w:id="30"/>
      <w:bookmarkEnd w:id="31"/>
    </w:p>
    <w:p w:rsidR="00583121" w:rsidRPr="00490279" w:rsidRDefault="00583121" w:rsidP="00936F35">
      <w:pPr>
        <w:keepNext/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Добыча нефти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группе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за 2012 год составила 17 863,9 тыс. т. На лицензионных участках нефтедобывающих предприятий Мегионского блока в отчетном периоде извлечено 17841,6 тыс. т нефти, что на 0,9% меньше утвержденного плана и на 1,2% ниже уровня предыдущего года.</w:t>
      </w: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На Куюмбинском месторождении из разведочных и эксплуатационных скважин за отчетный период при плане 32,0 тыс.т извлечено 22,2 тыс. т нефти, что на 30,6% ниже объема  добычи в 2011 году. </w:t>
      </w: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2012 году на Куюмбинском месторождении продолжились работы по эксплуатационному бурению участка ОПР-2.</w:t>
      </w: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Добыча нефти по добывающим предприятиям представлена в таблице 2.</w:t>
      </w:r>
    </w:p>
    <w:p w:rsidR="00583121" w:rsidRPr="00490279" w:rsidRDefault="00583121" w:rsidP="00583121">
      <w:pPr>
        <w:keepNext/>
        <w:tabs>
          <w:tab w:val="left" w:pos="1290"/>
        </w:tabs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lastRenderedPageBreak/>
        <w:t>Таблица 2. Добыча нефти по добывающим предприятиям группы Славнефть</w:t>
      </w:r>
    </w:p>
    <w:p w:rsidR="00583121" w:rsidRPr="00490279" w:rsidRDefault="00583121" w:rsidP="00583121">
      <w:pPr>
        <w:keepNext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val="en-US"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тыс т.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1036"/>
        <w:gridCol w:w="987"/>
        <w:gridCol w:w="1011"/>
        <w:gridCol w:w="917"/>
        <w:gridCol w:w="1134"/>
      </w:tblGrid>
      <w:tr w:rsidR="00E2601E" w:rsidRPr="00490279" w:rsidTr="00DC618E">
        <w:trPr>
          <w:cantSplit/>
          <w:trHeight w:val="332"/>
          <w:jc w:val="center"/>
        </w:trPr>
        <w:tc>
          <w:tcPr>
            <w:tcW w:w="229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Предприятия</w:t>
            </w:r>
          </w:p>
        </w:tc>
        <w:tc>
          <w:tcPr>
            <w:tcW w:w="593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11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45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2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965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Отклонение (%)</w:t>
            </w:r>
          </w:p>
        </w:tc>
      </w:tr>
      <w:tr w:rsidR="00E2601E" w:rsidRPr="00490279" w:rsidTr="00DC618E">
        <w:trPr>
          <w:cantSplit/>
          <w:trHeight w:val="238"/>
          <w:jc w:val="center"/>
        </w:trPr>
        <w:tc>
          <w:tcPr>
            <w:tcW w:w="229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6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57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2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2012г./ 201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ru-RU"/>
              </w:rPr>
              <w:t>2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г. факт/план</w:t>
            </w:r>
          </w:p>
        </w:tc>
      </w:tr>
      <w:tr w:rsidR="00E2601E" w:rsidRPr="00490279" w:rsidTr="00DC618E">
        <w:trPr>
          <w:trHeight w:hRule="exact" w:val="323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«СН-МНГ»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10 218,4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9 576,5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9 667,7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«Славнефть-Нижневартовск»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1 358,1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1 871,7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1 949,7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104,2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«Соболь»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141,6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146,3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103,3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«Обьнефтегеология»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555,8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474,7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102,5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«СН-МНГГ»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763,4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696,5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634,5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91,1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«НГК «Славнефть»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961,8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766,9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676,2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88,2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«ОНГГ»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4 029,1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4 484,5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4 292,6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95,7</w:t>
            </w:r>
          </w:p>
        </w:tc>
      </w:tr>
      <w:tr w:rsidR="00E2601E" w:rsidRPr="00490279" w:rsidTr="00DC618E">
        <w:trPr>
          <w:trHeight w:hRule="exact" w:val="270"/>
          <w:jc w:val="center"/>
        </w:trPr>
        <w:tc>
          <w:tcPr>
            <w:tcW w:w="2297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keepNext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«Славнефть-Красноярскнефтегаз»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69,5</w:t>
            </w:r>
          </w:p>
        </w:tc>
      </w:tr>
      <w:tr w:rsidR="00E2601E" w:rsidRPr="00490279" w:rsidTr="00DC618E">
        <w:trPr>
          <w:trHeight w:hRule="exact" w:val="309"/>
          <w:jc w:val="center"/>
        </w:trPr>
        <w:tc>
          <w:tcPr>
            <w:tcW w:w="2297" w:type="pct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добывающие предприятия</w:t>
            </w:r>
          </w:p>
        </w:tc>
        <w:tc>
          <w:tcPr>
            <w:tcW w:w="593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18 085,7</w:t>
            </w:r>
          </w:p>
        </w:tc>
        <w:tc>
          <w:tcPr>
            <w:tcW w:w="56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18 033,4</w:t>
            </w:r>
          </w:p>
        </w:tc>
        <w:tc>
          <w:tcPr>
            <w:tcW w:w="57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7</w:t>
            </w: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 863,9</w:t>
            </w:r>
          </w:p>
        </w:tc>
        <w:tc>
          <w:tcPr>
            <w:tcW w:w="528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4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99,1</w:t>
            </w:r>
          </w:p>
        </w:tc>
      </w:tr>
    </w:tbl>
    <w:p w:rsidR="00936F35" w:rsidRDefault="00936F35" w:rsidP="0058312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Средний дебит нефти скважин по Мегионскому блоку в отчетном периоде составил 13,8 т/сут, что на 0,3 т/сут выше запланированного (13,5 т/сут). Среднесуточная добыча сложилась на уровне 48 748 тонн в сутки.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bookmarkStart w:id="32" w:name="_Toc136424413"/>
      <w:bookmarkStart w:id="33" w:name="_Toc136424784"/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Рисунок 1. Динамика среднесуточного дебита нефтяных скважин.</w:t>
      </w:r>
      <w:bookmarkEnd w:id="32"/>
      <w:bookmarkEnd w:id="33"/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noProof/>
          <w:lang w:eastAsia="ru-RU"/>
        </w:rPr>
        <w:drawing>
          <wp:inline distT="0" distB="0" distL="0" distR="0" wp14:anchorId="1BFD8658" wp14:editId="68178D3F">
            <wp:extent cx="5940425" cy="3420542"/>
            <wp:effectExtent l="0" t="0" r="317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Обводненность продукции в отчетном периоде составила 90,2%, против запланированных 90,0%, что на 0,2% выше утвержденного плана.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Доля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 общем объеме нефти, добытой в России за 2012 год, составила 3,4%, а в объеме добычи нефтяных компаний – 4,1%.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Сдача нефти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группе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за 2012 год составила 17 814,8 тыс. т, что на 1,0% ниже уровня аналогичного периода предыдущего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Распределение объемов сдачи нефти по добывающим предприятиям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представлено в таблице 3.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Таблица 3. </w:t>
      </w:r>
    </w:p>
    <w:p w:rsidR="00583121" w:rsidRPr="00490279" w:rsidRDefault="00583121" w:rsidP="00583121">
      <w:pPr>
        <w:keepNext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val="en-US" w:eastAsia="ru-RU"/>
        </w:rPr>
      </w:pPr>
      <w:r w:rsidRPr="0049027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>тыс т.</w:t>
      </w:r>
    </w:p>
    <w:tbl>
      <w:tblPr>
        <w:tblW w:w="9357" w:type="dxa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418"/>
        <w:gridCol w:w="1843"/>
      </w:tblGrid>
      <w:tr w:rsidR="00E2601E" w:rsidRPr="00490279" w:rsidTr="00DC618E">
        <w:trPr>
          <w:cantSplit/>
          <w:trHeight w:val="489"/>
          <w:tblHeader/>
          <w:jc w:val="center"/>
        </w:trPr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Предприятия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2012 г.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Отклонение (%)</w:t>
            </w:r>
          </w:p>
          <w:p w:rsidR="00583121" w:rsidRPr="00490279" w:rsidRDefault="00583121" w:rsidP="0058312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2012 г./2011 г.</w:t>
            </w:r>
          </w:p>
        </w:tc>
      </w:tr>
      <w:tr w:rsidR="00E2601E" w:rsidRPr="00490279" w:rsidTr="00DC618E">
        <w:trPr>
          <w:cantSplit/>
          <w:trHeight w:val="218"/>
          <w:jc w:val="center"/>
        </w:trPr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«СН-МНГ»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10 198,9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9 66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6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94,8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«Славнефть-Нижневартовск»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1 349,3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1 942,3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144,0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«Соболь»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87,5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«Обьнефтегеология»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84,8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ОАО «СН-МНГГ»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633,9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83,3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«НГК «Славнефть»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70,4</w:t>
            </w:r>
          </w:p>
        </w:tc>
      </w:tr>
      <w:tr w:rsidR="00E2601E" w:rsidRPr="00490279" w:rsidTr="00DC618E">
        <w:trPr>
          <w:cantSplit/>
          <w:trHeight w:val="170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«ОНГГ»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4 012,4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4 282,9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106,7</w:t>
            </w:r>
          </w:p>
        </w:tc>
      </w:tr>
      <w:tr w:rsidR="00E2601E" w:rsidRPr="00490279" w:rsidTr="00DC618E">
        <w:trPr>
          <w:cantSplit/>
          <w:trHeight w:val="261"/>
          <w:jc w:val="center"/>
        </w:trPr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17 999,7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17 814,8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46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sz w:val="18"/>
                <w:szCs w:val="18"/>
                <w:lang w:eastAsia="ru-RU"/>
              </w:rPr>
              <w:t>99,0</w:t>
            </w:r>
          </w:p>
        </w:tc>
      </w:tr>
    </w:tbl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Добыча газа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группе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за отчетный период зафиксирована на уровне 841,0 млн м</w:t>
      </w:r>
      <w:r w:rsidRPr="0049027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3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, что на 10,4% выше плана и на 0,5% ниже соответствующего показателя прошлого года. Поставка газа на Нижневартовский ГПЗ осуществлялась с Мегионского, Южно-Аганского, Аганского месторождений, с куста 42М Ватинского месторождения Аганского НГДУ (АНГДУ); Мыхпайского, Ватинского, Северо-Покурского, Лугового, Кетовского, Северо-Ореховского месторождений Ватинского НГДУ (ВНГДУ). Кроме того, попутный нефтяной газ использовался на собственные нужды: котельные и печи нагрева нефти. Попутный нефтяной газ левобережных месторождений использовался на собственные нужды: котельные и печи нагрева нефти, выработку электроэнергии на автономных газотурбинных электростанциях; также газ реализовывался ООО «Теплонефть» для отопления котельной на нефтепромыслах, ЦППН-1, УМТС. Около 25,0% ресурсов газа сжигалось на факелах, ввиду отсутствия объектов для утилизации и остановок ГПЗ.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Сдача газа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НГПЗ в 2012 году увеличилась по сравнению с уровнем прошлого года на 1,4% и 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составила 654,3 млн м</w:t>
      </w:r>
      <w:r w:rsidRPr="00490279">
        <w:rPr>
          <w:rFonts w:ascii="Arial" w:eastAsia="Times New Roman" w:hAnsi="Arial" w:cs="Arial"/>
          <w:spacing w:val="-8"/>
          <w:sz w:val="18"/>
          <w:szCs w:val="18"/>
          <w:vertAlign w:val="superscript"/>
          <w:lang w:eastAsia="ru-RU"/>
        </w:rPr>
        <w:t xml:space="preserve">3  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при плане</w:t>
      </w:r>
      <w:r w:rsidRPr="00490279">
        <w:rPr>
          <w:rFonts w:ascii="Arial" w:eastAsia="Times New Roman" w:hAnsi="Arial" w:cs="Arial"/>
          <w:spacing w:val="-8"/>
          <w:sz w:val="18"/>
          <w:szCs w:val="18"/>
          <w:vertAlign w:val="superscript"/>
          <w:lang w:eastAsia="ru-RU"/>
        </w:rPr>
        <w:t xml:space="preserve"> 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552,1 млн м</w:t>
      </w:r>
      <w:r w:rsidRPr="00490279">
        <w:rPr>
          <w:rFonts w:ascii="Arial" w:eastAsia="Times New Roman" w:hAnsi="Arial" w:cs="Arial"/>
          <w:spacing w:val="-8"/>
          <w:sz w:val="18"/>
          <w:szCs w:val="18"/>
          <w:vertAlign w:val="superscript"/>
          <w:lang w:eastAsia="ru-RU"/>
        </w:rPr>
        <w:t>3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. Утилизация попутного нефтяного газа составила 74,7%.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За отчетный период </w:t>
      </w: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проходка в эксплуатационном бурении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составила 691,1 тыс. м. горных пород, что на 10,8% выше уровня, предусмотренного в плане, и на 11,5% ниже уровня прошлого года.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Добыча нефти из новых скважин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составила 1</w:t>
      </w:r>
      <w:r w:rsidRPr="00490279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161,3 тыс. т, что на 3,0% ниже планового показателя. Средний дебит новых скважин составил 55,3 т/сут, что на 27,0% выше уровня, утвержденного планом. Динамика ввода новых скважин и среднего дебита представлена на рисунке 2.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64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bookmarkStart w:id="34" w:name="_Toc136424415"/>
      <w:bookmarkStart w:id="35" w:name="_Toc136424786"/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Рисунок 2. </w:t>
      </w:r>
      <w:bookmarkEnd w:id="34"/>
      <w:bookmarkEnd w:id="35"/>
    </w:p>
    <w:p w:rsidR="00583121" w:rsidRPr="00490279" w:rsidRDefault="00583121" w:rsidP="00583121">
      <w:pPr>
        <w:spacing w:after="0" w:line="264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6A929B53" wp14:editId="155DBF82">
            <wp:extent cx="5814204" cy="3837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204" cy="383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Гидравлический разрыв пласта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(рисунок 3) проведен на 193 скважинах, что на 41 мероприятие выше утвержденного в плане. Дополнительная добыча нефти по ГРП составила 324,3 тыс. т, что на 6,9 тыс. т или 2,2 % выше плановых показателей.</w:t>
      </w:r>
    </w:p>
    <w:p w:rsidR="00583121" w:rsidRPr="00490279" w:rsidRDefault="00583121" w:rsidP="00583121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Средний прирост дебита нефти на скважину достиг 11,1  т/сут, что ниже уровня плана на 4,3 %. 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lastRenderedPageBreak/>
        <w:t>Рисунок 3. Число ГРП и средний прирост дебита нефти.</w:t>
      </w:r>
    </w:p>
    <w:p w:rsidR="00583121" w:rsidRPr="00490279" w:rsidRDefault="00583121" w:rsidP="0058312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490279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48889779" wp14:editId="3B27CE1B">
            <wp:extent cx="5840083" cy="38387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10" cy="3839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121" w:rsidRPr="00490279" w:rsidRDefault="00583121" w:rsidP="00583121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За 2012 год на скважинах месторождений Мегионского блока выполнено 93 </w:t>
      </w: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возврата на другие горизонты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, что на 111,4% выше запланированного уровня. За счет проведения данного вида геолого-технических мероприятий (ГТМ) объем добычи нефти составил 169,6 тыс т, а средний прирост дебита скважин достиг 11,7 т/сут.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Интенсификация притока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выполнена на 231 нефтяной скважине, что на 15,5% выше планируемого показателя</w:t>
      </w:r>
      <w:r w:rsidRPr="00490279">
        <w:rPr>
          <w:rFonts w:ascii="Arial" w:eastAsia="Times New Roman" w:hAnsi="Arial" w:cs="Arial"/>
          <w:spacing w:val="-8"/>
          <w:sz w:val="18"/>
          <w:szCs w:val="18"/>
          <w:lang w:eastAsia="ru-RU"/>
        </w:rPr>
        <w:t>. Объем добычи за счет проведения этого вида работ составил 213,8 тыс т.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Средний прирост дебита нефти на одну скважину составил 5,2 т/сут, что на 16,7% ниже планового показателя.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Ремонтно-изоляционные работы, ликвидация негерметичности, ликвидация аварий.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Выполнено 37 мероприятий, что на 59,5% меньше, чем запланировано. Суммарная дополнительная добыча нефти по данным видам ГТМ составила 53,6 тыс т.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Кроме того, на месторождениях Мегионского блока выполнялись работы по </w:t>
      </w: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зарезке второго ствола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32 скважинах (дополнительная добыча –161,1 тыс  т. и ввод скважин из других категорий (2 скважино-операций с дополнительной добычей 37,0 тыс т).</w:t>
      </w:r>
    </w:p>
    <w:p w:rsidR="00583121" w:rsidRPr="00490279" w:rsidRDefault="00583121" w:rsidP="00583121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целом, объем </w:t>
      </w: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дополнительной добычи нефти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за 2012 год составил 2 120,7 тыс т, что выше утвержденного плана на 1,8% при перевыполнении плана по числу ГТМ на 11,6%. Структура дополнительной добычи нефти в разрезе проектов ГТМ представлена на рисунке 4.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Рисунок 4. </w:t>
      </w:r>
    </w:p>
    <w:p w:rsidR="00583121" w:rsidRPr="00490279" w:rsidRDefault="00583121" w:rsidP="00583121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011AB0CA" wp14:editId="77FCD3BA">
            <wp:extent cx="4876800" cy="257175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36" w:name="_Toc136424418"/>
      <w:bookmarkStart w:id="37" w:name="_Toc136424789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lastRenderedPageBreak/>
        <w:t>Базовая добыча нефти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Мегионскому блоку за отчетны</w:t>
      </w:r>
      <w:r w:rsidR="00F21AD3" w:rsidRPr="00490279">
        <w:rPr>
          <w:rFonts w:ascii="Arial" w:eastAsia="Times New Roman" w:hAnsi="Arial" w:cs="Arial"/>
          <w:sz w:val="18"/>
          <w:szCs w:val="18"/>
          <w:lang w:eastAsia="ru-RU"/>
        </w:rPr>
        <w:t>й период составила 15 720,9 тыс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т, что на 1,2% ниже уровня плана.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Эксплуатационный фонд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нефтяных скважин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состоянию на 01 января 2013  года составил 4 232 скважины, неработающий фонд – 653 скважины (15,4% от эксплуатационного).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эксплуатационному фонду скважин выполнено 1327 базовых капитальных и 3378 текущих ремонтов. Объем базовых капитальных ремонтов скважин (КРС) выше утвержденного уровня на 3,0% , число подземных ремонтов скважин (ПРС) ниже на 14,0%.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Выработка на одну бригаду ПРС составила 100,3 ремонта и по сравнению с 2011 годом уменьшилась на 13,0%. Средняя наработка на отказ насосного оборудования находится на плановом уровне (см. таблицу 4).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Таблица 4. </w:t>
      </w:r>
    </w:p>
    <w:p w:rsidR="00583121" w:rsidRPr="00490279" w:rsidRDefault="00583121" w:rsidP="00583121">
      <w:pPr>
        <w:keepNext/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Cs/>
          <w:i/>
          <w:sz w:val="18"/>
          <w:szCs w:val="18"/>
          <w:lang w:eastAsia="ru-RU"/>
        </w:rPr>
        <w:t>сут.</w:t>
      </w:r>
    </w:p>
    <w:tbl>
      <w:tblPr>
        <w:tblW w:w="93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216"/>
        <w:gridCol w:w="1842"/>
        <w:gridCol w:w="1701"/>
        <w:gridCol w:w="1939"/>
      </w:tblGrid>
      <w:tr w:rsidR="00E2601E" w:rsidRPr="00490279" w:rsidTr="00DC618E">
        <w:trPr>
          <w:trHeight w:hRule="exact" w:val="423"/>
          <w:jc w:val="center"/>
        </w:trPr>
        <w:tc>
          <w:tcPr>
            <w:tcW w:w="2627" w:type="dxa"/>
            <w:tcBorders>
              <w:top w:val="double" w:sz="4" w:space="0" w:color="auto"/>
              <w:bottom w:val="nil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b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Мегионский блок</w:t>
            </w: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b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iCs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b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2011 г.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b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20</w:t>
            </w:r>
            <w:r w:rsidRPr="00490279">
              <w:rPr>
                <w:rFonts w:ascii="Arial" w:eastAsia="Times New Roman" w:hAnsi="Arial" w:cs="Arial"/>
                <w:b/>
                <w:iCs/>
                <w:sz w:val="18"/>
                <w:szCs w:val="18"/>
                <w:lang w:val="en-US" w:eastAsia="ru-RU"/>
              </w:rPr>
              <w:t>1</w:t>
            </w:r>
            <w:r w:rsidRPr="00490279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2 г.</w:t>
            </w:r>
          </w:p>
        </w:tc>
        <w:tc>
          <w:tcPr>
            <w:tcW w:w="19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Отклонение (%)</w:t>
            </w:r>
          </w:p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2011 г./20</w:t>
            </w: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 w:eastAsia="ru-RU"/>
              </w:rPr>
              <w:t>1</w:t>
            </w:r>
            <w:r w:rsidRPr="0049027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ru-RU"/>
              </w:rPr>
              <w:t>2 г.</w:t>
            </w:r>
          </w:p>
        </w:tc>
      </w:tr>
      <w:tr w:rsidR="00E2601E" w:rsidRPr="00490279" w:rsidTr="00DC618E">
        <w:trPr>
          <w:cantSplit/>
          <w:trHeight w:val="213"/>
          <w:jc w:val="center"/>
        </w:trPr>
        <w:tc>
          <w:tcPr>
            <w:tcW w:w="2627" w:type="dxa"/>
            <w:vMerge w:val="restart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rPr>
                <w:rFonts w:ascii="Arial" w:eastAsia="Arial Unicode MS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Средняя наработка на отказ</w:t>
            </w:r>
          </w:p>
        </w:tc>
        <w:tc>
          <w:tcPr>
            <w:tcW w:w="121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i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ЭЦН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val="en-US" w:eastAsia="ru-RU"/>
              </w:rPr>
              <w:t>45</w:t>
            </w: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val="en-US" w:eastAsia="ru-RU"/>
              </w:rPr>
              <w:t>4</w:t>
            </w: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3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105,5</w:t>
            </w:r>
          </w:p>
        </w:tc>
      </w:tr>
      <w:tr w:rsidR="00E2601E" w:rsidRPr="00490279" w:rsidTr="00DC618E">
        <w:trPr>
          <w:cantSplit/>
          <w:trHeight w:val="141"/>
          <w:jc w:val="center"/>
        </w:trPr>
        <w:tc>
          <w:tcPr>
            <w:tcW w:w="2627" w:type="dxa"/>
            <w:vMerge/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ind w:firstLine="157"/>
              <w:rPr>
                <w:rFonts w:ascii="Arial" w:eastAsia="Arial Unicode MS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i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ШГН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9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117,5</w:t>
            </w:r>
          </w:p>
        </w:tc>
      </w:tr>
      <w:tr w:rsidR="00E2601E" w:rsidRPr="00490279" w:rsidTr="00DC618E">
        <w:trPr>
          <w:cantSplit/>
          <w:trHeight w:hRule="exact" w:val="255"/>
          <w:jc w:val="center"/>
        </w:trPr>
        <w:tc>
          <w:tcPr>
            <w:tcW w:w="2627" w:type="dxa"/>
            <w:vMerge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ind w:firstLine="157"/>
              <w:rPr>
                <w:rFonts w:ascii="Arial" w:eastAsia="Arial Unicode MS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i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93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spacing w:after="0" w:line="216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sz w:val="18"/>
                <w:szCs w:val="18"/>
                <w:lang w:eastAsia="ru-RU"/>
              </w:rPr>
              <w:t>108,2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bookmarkEnd w:id="36"/>
    <w:bookmarkEnd w:id="37"/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Средняя наработка на отказ (СНО) насосного оборудования за отчетный период по сравнению с 2011 годом увеличилась на 8,2%. Рост СНО обусловлен реализацией программы мероприятий увеличения средней наработки на отказ механизированного фонда скважин 2010 – 2012 гг. </w:t>
      </w:r>
    </w:p>
    <w:p w:rsidR="00583121" w:rsidRDefault="00583121" w:rsidP="005831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</w:pPr>
      <w:bookmarkStart w:id="38" w:name="_Toc259626850"/>
      <w:bookmarkEnd w:id="28"/>
    </w:p>
    <w:p w:rsidR="00936F35" w:rsidRPr="00490279" w:rsidRDefault="00936F35" w:rsidP="0058312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</w:pPr>
      <w:bookmarkStart w:id="39" w:name="_Toc355077721"/>
      <w:bookmarkEnd w:id="38"/>
      <w:r w:rsidRPr="00490279">
        <w:rPr>
          <w:rFonts w:ascii="Arial" w:eastAsia="Times New Roman" w:hAnsi="Arial" w:cs="Arial"/>
          <w:b/>
          <w:bCs/>
          <w:i/>
          <w:iCs/>
          <w:smallCaps/>
          <w:kern w:val="28"/>
          <w:sz w:val="18"/>
          <w:szCs w:val="18"/>
          <w:lang w:eastAsia="ru-RU"/>
        </w:rPr>
        <w:t>Переработка нефти</w:t>
      </w:r>
      <w:bookmarkEnd w:id="39"/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Общий объем переработки сырого углеводородного сырья на НПЗ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hAnsi="Arial" w:cs="Arial"/>
          <w:sz w:val="18"/>
          <w:szCs w:val="18"/>
        </w:rPr>
        <w:t xml:space="preserve"> в 2012 году составил 26 390 тыс</w:t>
      </w:r>
      <w:r w:rsidR="00F21AD3" w:rsidRPr="00490279">
        <w:rPr>
          <w:rFonts w:ascii="Arial" w:hAnsi="Arial" w:cs="Arial"/>
          <w:sz w:val="18"/>
          <w:szCs w:val="18"/>
        </w:rPr>
        <w:t xml:space="preserve"> </w:t>
      </w:r>
      <w:r w:rsidRPr="00490279">
        <w:rPr>
          <w:rFonts w:ascii="Arial" w:hAnsi="Arial" w:cs="Arial"/>
          <w:sz w:val="18"/>
          <w:szCs w:val="18"/>
        </w:rPr>
        <w:t>тонн, что на 4,8% выше уровня 2011 года и на 3,0% выше бизнес-плана 2012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Объем переработки сырого углеводородного сырья на ОАО "Славнефть-ЯНОС" (для таблиц Славнефть-ЯНОС) за 2012 год составил 15 278,3 тыс</w:t>
      </w:r>
      <w:r w:rsidR="00F21AD3" w:rsidRPr="00490279">
        <w:rPr>
          <w:rFonts w:ascii="Arial" w:hAnsi="Arial" w:cs="Arial"/>
          <w:sz w:val="18"/>
          <w:szCs w:val="18"/>
        </w:rPr>
        <w:t xml:space="preserve"> </w:t>
      </w:r>
      <w:r w:rsidRPr="00490279">
        <w:rPr>
          <w:rFonts w:ascii="Arial" w:hAnsi="Arial" w:cs="Arial"/>
          <w:sz w:val="18"/>
          <w:szCs w:val="18"/>
        </w:rPr>
        <w:t>тонн, что на 3,4% выше уровня 2011 года и на 5,4% выше бизнес-плана 2012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Объем переработки сырого углеводородного сырья на ОАО "Мозырский НПЗ" (для таблиц Мозырский НПЗ) за 2012 год составил 11 111,7 тыс</w:t>
      </w:r>
      <w:r w:rsidR="00F21AD3"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тонн, что на 6,8% выше уровня 2011 года и на 0,1% меньше бизнес-плана 2012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Кроме того в 2012 году Мозырским НПЗ для увеличения загрузки вторичных мощностей было закуплено углеводородное сырье в количестве 201,1 тыс тонн.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Ниже отражены основные производственные показатели НПЗ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5. Основные производственные показатели НПЗ группы Славнефть.</w:t>
      </w:r>
    </w:p>
    <w:tbl>
      <w:tblPr>
        <w:tblW w:w="9168" w:type="dxa"/>
        <w:tblInd w:w="10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4"/>
        <w:gridCol w:w="842"/>
        <w:gridCol w:w="838"/>
        <w:gridCol w:w="839"/>
        <w:gridCol w:w="841"/>
        <w:gridCol w:w="716"/>
        <w:gridCol w:w="685"/>
        <w:gridCol w:w="843"/>
        <w:gridCol w:w="700"/>
        <w:gridCol w:w="550"/>
      </w:tblGrid>
      <w:tr w:rsidR="00E2601E" w:rsidRPr="00490279" w:rsidTr="00DC618E">
        <w:trPr>
          <w:trHeight w:val="680"/>
        </w:trPr>
        <w:tc>
          <w:tcPr>
            <w:tcW w:w="23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НПЗ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Объем переработки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</w:p>
          <w:p w:rsidR="00583121" w:rsidRPr="00490279" w:rsidRDefault="00583121" w:rsidP="00F21A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тыс т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Глубина 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переработки, %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Выход светлых нефтепродуктов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2"/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,  %</w:t>
            </w:r>
          </w:p>
        </w:tc>
      </w:tr>
      <w:tr w:rsidR="00E2601E" w:rsidRPr="00490279" w:rsidTr="00DC618E">
        <w:trPr>
          <w:trHeight w:val="255"/>
        </w:trPr>
        <w:tc>
          <w:tcPr>
            <w:tcW w:w="236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2011г.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011г.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 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2011г.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 г.</w:t>
            </w:r>
          </w:p>
        </w:tc>
      </w:tr>
      <w:tr w:rsidR="00E2601E" w:rsidRPr="00490279" w:rsidTr="00DC618E">
        <w:trPr>
          <w:trHeight w:val="255"/>
        </w:trPr>
        <w:tc>
          <w:tcPr>
            <w:tcW w:w="236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БП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БП</w:t>
            </w:r>
          </w:p>
        </w:tc>
        <w:tc>
          <w:tcPr>
            <w:tcW w:w="69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БП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факт</w:t>
            </w:r>
          </w:p>
        </w:tc>
      </w:tr>
      <w:tr w:rsidR="00E2601E" w:rsidRPr="00490279" w:rsidTr="00DC618E">
        <w:trPr>
          <w:trHeight w:val="386"/>
        </w:trPr>
        <w:tc>
          <w:tcPr>
            <w:tcW w:w="236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ОАО «Славнефть-ЯНОС»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14 774,3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14 500,0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15 278,3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65,6</w:t>
            </w:r>
          </w:p>
        </w:tc>
        <w:tc>
          <w:tcPr>
            <w:tcW w:w="7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65,7</w:t>
            </w:r>
          </w:p>
        </w:tc>
        <w:tc>
          <w:tcPr>
            <w:tcW w:w="6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65,5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56,4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56,5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56,0</w:t>
            </w:r>
          </w:p>
        </w:tc>
      </w:tr>
      <w:tr w:rsidR="00E2601E" w:rsidRPr="00490279" w:rsidTr="00DC618E">
        <w:trPr>
          <w:trHeight w:val="386"/>
        </w:trPr>
        <w:tc>
          <w:tcPr>
            <w:tcW w:w="236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ОАО "Мозырский НПЗ"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10 401,0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11 120,0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11 111,7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727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66,8</w:t>
            </w:r>
          </w:p>
        </w:tc>
        <w:tc>
          <w:tcPr>
            <w:tcW w:w="69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68,6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56,9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57,8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59,3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6. Производство нефтепродуктов на НПЗ группы Славнефть.</w:t>
      </w:r>
    </w:p>
    <w:tbl>
      <w:tblPr>
        <w:tblW w:w="4984" w:type="pct"/>
        <w:tblInd w:w="1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03"/>
        <w:gridCol w:w="618"/>
        <w:gridCol w:w="853"/>
        <w:gridCol w:w="867"/>
        <w:gridCol w:w="882"/>
        <w:gridCol w:w="840"/>
        <w:gridCol w:w="835"/>
        <w:gridCol w:w="838"/>
        <w:gridCol w:w="835"/>
      </w:tblGrid>
      <w:tr w:rsidR="00E2601E" w:rsidRPr="00490279" w:rsidTr="00DC618E">
        <w:trPr>
          <w:trHeight w:val="170"/>
          <w:tblHeader/>
        </w:trPr>
        <w:tc>
          <w:tcPr>
            <w:tcW w:w="1380" w:type="pct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left="254" w:hanging="11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Наименование</w:t>
            </w:r>
          </w:p>
        </w:tc>
        <w:tc>
          <w:tcPr>
            <w:tcW w:w="341" w:type="pct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hanging="3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Ед.</w:t>
            </w:r>
          </w:p>
          <w:p w:rsidR="00583121" w:rsidRPr="00490279" w:rsidRDefault="00583121" w:rsidP="00583121">
            <w:pPr>
              <w:spacing w:after="0" w:line="240" w:lineRule="auto"/>
              <w:ind w:hanging="3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изм.</w:t>
            </w:r>
          </w:p>
        </w:tc>
        <w:tc>
          <w:tcPr>
            <w:tcW w:w="948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Славнефть-ЯНОС</w:t>
            </w:r>
          </w:p>
        </w:tc>
        <w:tc>
          <w:tcPr>
            <w:tcW w:w="949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Мозырский НПЗ</w:t>
            </w:r>
          </w:p>
        </w:tc>
        <w:tc>
          <w:tcPr>
            <w:tcW w:w="1382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Всего </w:t>
            </w:r>
          </w:p>
        </w:tc>
      </w:tr>
      <w:tr w:rsidR="00E2601E" w:rsidRPr="00490279" w:rsidTr="00DC618E">
        <w:trPr>
          <w:trHeight w:val="250"/>
          <w:tblHeader/>
        </w:trPr>
        <w:tc>
          <w:tcPr>
            <w:tcW w:w="1380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ind w:left="254" w:hanging="112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hanging="3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2011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2011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2011г.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</w:t>
            </w: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</w:t>
            </w:r>
            <w:r w:rsidRPr="0049027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г. к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2011г.,%</w:t>
            </w:r>
          </w:p>
        </w:tc>
      </w:tr>
      <w:tr w:rsidR="00E2601E" w:rsidRPr="00490279" w:rsidTr="00DC618E">
        <w:trPr>
          <w:trHeight w:val="427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Переработка</w:t>
            </w:r>
            <w:r w:rsidRPr="00490279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F21AD3" w:rsidP="00F21A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ыс</w:t>
            </w:r>
            <w:r w:rsidRPr="00490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14 772,9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15 277,8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10 381,7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11 091,3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25 154,6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26 369,1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Переработка сырья для вторичных процессов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F21AD3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тыс 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201,1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16,5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201,1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1 220,5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Бензины всего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F21AD3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тыс 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2 952,7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2 855,7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2 375,3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2 824,6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5 328,0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5 680,3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106,6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 в т.ч. автобензины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F21AD3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тыс 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2 352,4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2 430,6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2 156,8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2 657,6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4 509,2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5 088,2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112,8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lastRenderedPageBreak/>
              <w:t>Дизтопливо, включая топливо печное бытовое (ТПБ)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F21AD3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тыс </w:t>
            </w:r>
            <w:r w:rsidR="00583121" w:rsidRPr="0049027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4 445,6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4 716,4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3 209,6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3 795,4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7 655,2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8 511,8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111,2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Керосины, всего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тыс.т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842,5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873,7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270,9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144,3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1 113,4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1 018,0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91,4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 в т. ч. авиакеросин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тыс.т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842,5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873,7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842,5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873,7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103,7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Ароматические углеводороды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тыс.т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96,1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112,8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49,9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146,0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163,5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112,0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Итого светлых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тыс 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8 336,9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8 558,6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5 905,7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6 815,0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14 242,6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15 373,6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107,9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Мазут топочный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 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4 679,2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4 903,7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3 084,6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3 167,4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7 763,8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8 071,1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Масла смазочные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 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248,4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223,0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248,4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223,0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89,8</w:t>
            </w:r>
          </w:p>
        </w:tc>
      </w:tr>
      <w:tr w:rsidR="00E2601E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Нефтебитумы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 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385,3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439,7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267,5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295,7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652,8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735,4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112,7</w:t>
            </w:r>
          </w:p>
        </w:tc>
      </w:tr>
      <w:tr w:rsidR="00583121" w:rsidRPr="00490279" w:rsidTr="00DC618E">
        <w:trPr>
          <w:trHeight w:val="250"/>
        </w:trPr>
        <w:tc>
          <w:tcPr>
            <w:tcW w:w="1380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Сжиженные газы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тыс т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90,6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78,8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210,2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242,6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300,8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321,4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106,9</w:t>
            </w:r>
          </w:p>
        </w:tc>
      </w:tr>
    </w:tbl>
    <w:p w:rsidR="00583121" w:rsidRDefault="00583121" w:rsidP="005831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36F35" w:rsidRDefault="00936F35" w:rsidP="005831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36F35" w:rsidRPr="00490279" w:rsidRDefault="00936F35" w:rsidP="005831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40" w:name="_Toc259626851"/>
      <w:bookmarkStart w:id="41" w:name="_Toc355077722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Открытое акционерное общество «Славнефть-Ярославнефтеоргсинтез»</w:t>
      </w:r>
      <w:bookmarkEnd w:id="40"/>
      <w:bookmarkEnd w:id="41"/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За 2012 год объём переработки сырого сырья составил 15 278,3 тыс</w:t>
      </w:r>
      <w:r w:rsidR="00F21AD3" w:rsidRPr="00490279">
        <w:rPr>
          <w:rFonts w:ascii="Arial" w:hAnsi="Arial" w:cs="Arial"/>
          <w:sz w:val="18"/>
          <w:szCs w:val="18"/>
        </w:rPr>
        <w:t xml:space="preserve"> </w:t>
      </w:r>
      <w:r w:rsidRPr="00490279">
        <w:rPr>
          <w:rFonts w:ascii="Arial" w:hAnsi="Arial" w:cs="Arial"/>
          <w:sz w:val="18"/>
          <w:szCs w:val="18"/>
        </w:rPr>
        <w:t>тонн, что на 5,4% выше показателей плана и на 3,4% уровня 2011 года.</w:t>
      </w:r>
    </w:p>
    <w:p w:rsidR="00583121" w:rsidRPr="00490279" w:rsidRDefault="00583121" w:rsidP="0058312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Показатели использования производственных мощностей за 12 месяцев 2012 года представлены в таблице 7.</w:t>
      </w:r>
    </w:p>
    <w:p w:rsidR="00583121" w:rsidRPr="00490279" w:rsidRDefault="00583121" w:rsidP="0058312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keepLines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Таблица 7. </w:t>
      </w:r>
    </w:p>
    <w:tbl>
      <w:tblPr>
        <w:tblW w:w="9214" w:type="dxa"/>
        <w:tblInd w:w="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992"/>
        <w:gridCol w:w="992"/>
        <w:gridCol w:w="851"/>
        <w:gridCol w:w="850"/>
        <w:gridCol w:w="1134"/>
      </w:tblGrid>
      <w:tr w:rsidR="00E2601E" w:rsidRPr="00490279" w:rsidTr="00DC618E">
        <w:trPr>
          <w:cantSplit/>
          <w:trHeight w:val="250"/>
        </w:trPr>
        <w:tc>
          <w:tcPr>
            <w:tcW w:w="3119" w:type="dxa"/>
            <w:vMerge w:val="restart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Наименование технологических процессов</w:t>
            </w:r>
          </w:p>
        </w:tc>
        <w:tc>
          <w:tcPr>
            <w:tcW w:w="1276" w:type="dxa"/>
            <w:vMerge w:val="restart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Утвержд. среднегод. мощности (тыс т)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2012/2011</w:t>
            </w:r>
          </w:p>
        </w:tc>
        <w:tc>
          <w:tcPr>
            <w:tcW w:w="1984" w:type="dxa"/>
            <w:gridSpan w:val="2"/>
            <w:vAlign w:val="center"/>
          </w:tcPr>
          <w:p w:rsidR="00583121" w:rsidRPr="00490279" w:rsidRDefault="00583121" w:rsidP="00F21AD3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Загрузка мощностей Факт (тыс</w:t>
            </w:r>
            <w:r w:rsidR="00F21AD3"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т</w:t>
            </w: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Использ. мощностей 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Факт (%)</w:t>
            </w:r>
          </w:p>
        </w:tc>
        <w:tc>
          <w:tcPr>
            <w:tcW w:w="1134" w:type="dxa"/>
            <w:vMerge w:val="restart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Темпы изм.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загр. мощн.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(%)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  <w:u w:val="single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  <w:u w:val="single"/>
              </w:rPr>
              <w:t>12 м. 2012г.</w:t>
            </w:r>
          </w:p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м. 2011г.</w:t>
            </w:r>
          </w:p>
        </w:tc>
      </w:tr>
      <w:tr w:rsidR="00E2601E" w:rsidRPr="00490279" w:rsidTr="00DC618E">
        <w:trPr>
          <w:cantSplit/>
          <w:trHeight w:val="264"/>
        </w:trPr>
        <w:tc>
          <w:tcPr>
            <w:tcW w:w="3119" w:type="dxa"/>
            <w:vMerge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2011г.</w:t>
            </w:r>
          </w:p>
        </w:tc>
        <w:tc>
          <w:tcPr>
            <w:tcW w:w="992" w:type="dxa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2012г.</w:t>
            </w:r>
          </w:p>
        </w:tc>
        <w:tc>
          <w:tcPr>
            <w:tcW w:w="851" w:type="dxa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2011г.</w:t>
            </w:r>
          </w:p>
        </w:tc>
        <w:tc>
          <w:tcPr>
            <w:tcW w:w="850" w:type="dxa"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2012г.</w:t>
            </w:r>
          </w:p>
        </w:tc>
        <w:tc>
          <w:tcPr>
            <w:tcW w:w="1134" w:type="dxa"/>
            <w:vMerge/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Первичная переработка нефти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14 772,9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15 277,8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98,49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101,85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103,42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Каталитическое риформирование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1 684,0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1 652,2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1 806,2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107,26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109,32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- на бензины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1 458,9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107,59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107,64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- на ароматику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296,8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347,3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90,49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105,88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117,01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Каталитический крекинг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1 391,3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1 215,9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111,30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97,27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87,39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Гидрокрекинг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2 140,0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2 057,9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2 207,5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96,16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103,15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107,27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Гидроочистка дизельного топлива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3 392,4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3 296,4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96,95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97,17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Газофракционирование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442,9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430,9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82,02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79,80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97,29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Алкилация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128,96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110,20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85,43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МТБЭ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86,47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Производство масел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98,68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89,04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90,23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Производство нефтебитумов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439,8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77,08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87,96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114,12</w:t>
            </w:r>
          </w:p>
        </w:tc>
      </w:tr>
    </w:tbl>
    <w:p w:rsidR="00583121" w:rsidRPr="00490279" w:rsidRDefault="00583121" w:rsidP="00583121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Использование первичных мощностей по сравнению с аналогичным периодом прошлого года выросло на 3,4%, что явилось результатом роста переработки сырья.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Увеличение загрузки по производственным мощностям комплекса гидрокрекинга связано с работой в отчетном периоде без остановок на плановый ремонт, по сравнению с прошлым годом.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Снижение загрузки мощностей технологической цепочки каталитического крекинга связано с простоем установок на плановом ремонте.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Динамика производства основных нефтепродуктов на ОАО "Славнефть-ЯНОС" представлена на Рисунке</w:t>
      </w:r>
      <w:r w:rsidR="00936F35">
        <w:rPr>
          <w:rFonts w:ascii="Arial" w:hAnsi="Arial" w:cs="Arial"/>
          <w:sz w:val="18"/>
          <w:szCs w:val="18"/>
        </w:rPr>
        <w:t> </w:t>
      </w:r>
      <w:r w:rsidRPr="00490279">
        <w:rPr>
          <w:rFonts w:ascii="Arial" w:hAnsi="Arial" w:cs="Arial"/>
          <w:sz w:val="18"/>
          <w:szCs w:val="18"/>
        </w:rPr>
        <w:t>5.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lastRenderedPageBreak/>
        <w:t xml:space="preserve">Рисунок 5. </w:t>
      </w: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42" w:name="_Toc353979500"/>
      <w:bookmarkStart w:id="43" w:name="_Toc353981702"/>
      <w:bookmarkStart w:id="44" w:name="_Toc354052174"/>
      <w:bookmarkStart w:id="45" w:name="_Toc354067298"/>
      <w:bookmarkStart w:id="46" w:name="_Toc354067362"/>
      <w:bookmarkStart w:id="47" w:name="_Toc354068752"/>
      <w:bookmarkStart w:id="48" w:name="_Toc354156078"/>
      <w:bookmarkStart w:id="49" w:name="_Toc354156130"/>
      <w:bookmarkStart w:id="50" w:name="_Toc354665223"/>
      <w:bookmarkStart w:id="51" w:name="_Toc355077723"/>
      <w:r w:rsidRPr="00490279">
        <w:rPr>
          <w:rFonts w:ascii="Arial" w:eastAsia="Times New Roman" w:hAnsi="Arial" w:cs="Arial"/>
          <w:b/>
          <w:i/>
          <w:noProof/>
          <w:sz w:val="18"/>
          <w:szCs w:val="18"/>
          <w:lang w:eastAsia="ru-RU"/>
        </w:rPr>
        <w:drawing>
          <wp:inline distT="0" distB="0" distL="0" distR="0" wp14:anchorId="39537611" wp14:editId="51E533FB">
            <wp:extent cx="3600000" cy="2718000"/>
            <wp:effectExtent l="76200" t="57150" r="95885" b="13970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936F35" w:rsidRDefault="00936F35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936F35" w:rsidRDefault="00936F35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За отчетный период произведено 8 558,6 тыс тонн светлых нефтепродуктов, что на 4,5% выше запланированного планом и на 2,7% выше уровня 2011 года, в том числе:</w:t>
      </w:r>
    </w:p>
    <w:p w:rsidR="00583121" w:rsidRPr="00490279" w:rsidRDefault="00583121" w:rsidP="00936F35">
      <w:pPr>
        <w:numPr>
          <w:ilvl w:val="0"/>
          <w:numId w:val="47"/>
        </w:numPr>
        <w:spacing w:after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2 430,6 тыс тонн автомобильных бензинов, в том числе 2 356,4 тыс тонн соответствующих классам  4  и 5 Технического регламента;</w:t>
      </w:r>
    </w:p>
    <w:p w:rsidR="00583121" w:rsidRPr="00490279" w:rsidRDefault="00583121" w:rsidP="00936F35">
      <w:pPr>
        <w:numPr>
          <w:ilvl w:val="0"/>
          <w:numId w:val="47"/>
        </w:numPr>
        <w:spacing w:after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873,7 тыс тонн керосина, что больше запланированного показателя на 3,2%;</w:t>
      </w:r>
    </w:p>
    <w:p w:rsidR="00583121" w:rsidRPr="00490279" w:rsidRDefault="00583121" w:rsidP="00936F35">
      <w:pPr>
        <w:numPr>
          <w:ilvl w:val="0"/>
          <w:numId w:val="47"/>
        </w:numPr>
        <w:spacing w:after="0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4 030,6 тыс тонн дизельного топлива, которое полностью соответствует классам 4 и 5 Технического регламента.</w:t>
      </w:r>
    </w:p>
    <w:p w:rsidR="00583121" w:rsidRDefault="00583121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июля 2012 года предприятие полностью перешло на выпуск всего объёма автомобильных бензинов и дизельного топлива в соответствии со стандартом ЕВРО-5.</w:t>
      </w:r>
    </w:p>
    <w:p w:rsidR="00583121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Выход светлых нефтепродуктов составил 56,0%, что ниже плана на -0,5% и факта 2011 года на -0,4% в связи с плановым ремонтом установки каталитического крекинга и ухудшением качества перерабатываемой нефти.</w:t>
      </w:r>
    </w:p>
    <w:p w:rsidR="00583121" w:rsidRDefault="00583121" w:rsidP="00936F35">
      <w:pPr>
        <w:spacing w:after="0"/>
        <w:rPr>
          <w:rFonts w:ascii="Arial" w:hAnsi="Arial" w:cs="Arial"/>
          <w:sz w:val="18"/>
          <w:szCs w:val="18"/>
        </w:rPr>
      </w:pPr>
      <w:bookmarkStart w:id="52" w:name="_Toc259626853"/>
    </w:p>
    <w:p w:rsidR="00936F35" w:rsidRDefault="00936F35" w:rsidP="00936F35">
      <w:pPr>
        <w:spacing w:after="0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spacing w:after="0"/>
        <w:rPr>
          <w:rFonts w:ascii="Arial" w:hAnsi="Arial" w:cs="Arial"/>
          <w:sz w:val="18"/>
          <w:szCs w:val="18"/>
        </w:rPr>
      </w:pPr>
    </w:p>
    <w:p w:rsidR="00583121" w:rsidRPr="00490279" w:rsidRDefault="00583121" w:rsidP="00936F35">
      <w:pPr>
        <w:keepNext/>
        <w:spacing w:after="0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53" w:name="_Toc355077724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Открытое акционерное общество «Мозырский нефтеперерабатывающий завод»</w:t>
      </w:r>
      <w:bookmarkEnd w:id="52"/>
      <w:bookmarkEnd w:id="53"/>
    </w:p>
    <w:p w:rsidR="00583121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936F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Переработка углеводородного (сырого) сырья за 2012 год составила 11 111,7 тыс тонн, что ниже плана 2012 года на 0,1% и выше уровня 2011 года на 6,8% (по загрузке первичных мощностей). </w:t>
      </w:r>
    </w:p>
    <w:p w:rsidR="00583121" w:rsidRDefault="00583121" w:rsidP="00936F3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936F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Переработано 5 912,2 тыс тонн собственного сырья и 5 199,5 тыс тонн давальческого сырья. Кроме того, на ОАО «Мозырский НПЗ» в качестве сырья для вторичных процессов (установка гидроочистки дизельного топлива) в отчетном периоде поступило 128,2 тыс тонн дизельного топлива, 63,0 тыс тонн печного топлива и 19,7 тыс тонн топлива моторного.</w:t>
      </w:r>
    </w:p>
    <w:p w:rsidR="00583121" w:rsidRDefault="00583121" w:rsidP="00936F3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936F3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Динамика производства основных нефтепродуктов на ОАО «Мозырский НПЗ» представлена на Рисунке 6.</w:t>
      </w:r>
    </w:p>
    <w:p w:rsidR="00583121" w:rsidRPr="00490279" w:rsidRDefault="00583121" w:rsidP="00936F35">
      <w:pPr>
        <w:spacing w:after="0"/>
        <w:jc w:val="both"/>
        <w:rPr>
          <w:rFonts w:ascii="Arial" w:eastAsia="Times New Roman" w:hAnsi="Arial" w:cs="Arial"/>
          <w:sz w:val="18"/>
          <w:szCs w:val="18"/>
          <w:highlight w:val="yellow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lastRenderedPageBreak/>
        <w:t xml:space="preserve">Рисунок 6. </w:t>
      </w:r>
    </w:p>
    <w:p w:rsidR="00583121" w:rsidRPr="00490279" w:rsidRDefault="00583121" w:rsidP="0058312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noProof/>
          <w:sz w:val="18"/>
          <w:szCs w:val="18"/>
          <w:lang w:eastAsia="ru-RU"/>
        </w:rPr>
        <w:drawing>
          <wp:inline distT="0" distB="0" distL="0" distR="0" wp14:anchorId="6107FACD" wp14:editId="0A2D636B">
            <wp:extent cx="3779520" cy="2826633"/>
            <wp:effectExtent l="76200" t="57150" r="106680" b="145415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В 2012 году существенно изменилась структура выпускаемых бензинов. Если в 2011 году высокооктановые автобензины в общем объёме бензинов составили 79,0%, то в 2012 году их доля выросла до 83,3%. 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Снизился объем производства дизельного топлива с содержанием серы 50 ppm с 2 077,9 тыс тонн за 12 месяцев 2011 года до 1 399,5 тыс тонн в 2012 году. Его доля в структуре выпуска дизельного топлива в 2012 году составила 37,4%, в 2011 году – 75,5%.</w:t>
      </w:r>
    </w:p>
    <w:p w:rsidR="00583121" w:rsidRPr="00490279" w:rsidRDefault="00583121" w:rsidP="0058312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8. Использование мощностей установок ОАО «Мозырский НПЗ».</w:t>
      </w:r>
    </w:p>
    <w:tbl>
      <w:tblPr>
        <w:tblW w:w="9214" w:type="dxa"/>
        <w:tblInd w:w="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Наименование &#10;технологических процессов Утвержд. среднегод. мощности (тыс. тн.)&#10;2012/2011 Загрузка мощностей Факт (тыс. тн.) Использ. мощностей &#10;Факт (%) Темпы изм.&#10;загр. мощн.&#10;(%)&#10;12 м. 2012г.&#10;12 м. 2011г.&#10;"/>
      </w:tblPr>
      <w:tblGrid>
        <w:gridCol w:w="3119"/>
        <w:gridCol w:w="1276"/>
        <w:gridCol w:w="992"/>
        <w:gridCol w:w="992"/>
        <w:gridCol w:w="851"/>
        <w:gridCol w:w="850"/>
        <w:gridCol w:w="1134"/>
      </w:tblGrid>
      <w:tr w:rsidR="00E2601E" w:rsidRPr="00490279" w:rsidTr="00DC618E">
        <w:trPr>
          <w:cantSplit/>
          <w:trHeight w:val="250"/>
        </w:trPr>
        <w:tc>
          <w:tcPr>
            <w:tcW w:w="3119" w:type="dxa"/>
            <w:vMerge w:val="restar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Наименование 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технологических процессов</w:t>
            </w:r>
          </w:p>
        </w:tc>
        <w:tc>
          <w:tcPr>
            <w:tcW w:w="1276" w:type="dxa"/>
            <w:vMerge w:val="restar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Утвержд. среднегод. мощности (тыс т.)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2012/2011</w:t>
            </w:r>
          </w:p>
        </w:tc>
        <w:tc>
          <w:tcPr>
            <w:tcW w:w="1984" w:type="dxa"/>
            <w:gridSpan w:val="2"/>
            <w:vAlign w:val="center"/>
          </w:tcPr>
          <w:p w:rsidR="00583121" w:rsidRPr="00490279" w:rsidRDefault="00583121" w:rsidP="00F21A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Загрузка мощностей Факт (тыс т.)</w:t>
            </w:r>
          </w:p>
        </w:tc>
        <w:tc>
          <w:tcPr>
            <w:tcW w:w="1701" w:type="dxa"/>
            <w:gridSpan w:val="2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Использ. мощностей 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Факт (%)</w:t>
            </w:r>
          </w:p>
        </w:tc>
        <w:tc>
          <w:tcPr>
            <w:tcW w:w="1134" w:type="dxa"/>
            <w:vMerge w:val="restar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Темпы изм.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загр. мощн.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(%)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  <w:u w:val="single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  <w:u w:val="single"/>
              </w:rPr>
              <w:t>12 м. 2012г.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м. 2011г.</w:t>
            </w:r>
          </w:p>
        </w:tc>
      </w:tr>
      <w:tr w:rsidR="00E2601E" w:rsidRPr="00490279" w:rsidTr="00DC618E">
        <w:trPr>
          <w:cantSplit/>
          <w:trHeight w:val="264"/>
        </w:trPr>
        <w:tc>
          <w:tcPr>
            <w:tcW w:w="3119" w:type="dxa"/>
            <w:vMerge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2011г.</w:t>
            </w:r>
          </w:p>
        </w:tc>
        <w:tc>
          <w:tcPr>
            <w:tcW w:w="992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2012г.</w:t>
            </w:r>
          </w:p>
        </w:tc>
        <w:tc>
          <w:tcPr>
            <w:tcW w:w="851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2011г.</w:t>
            </w:r>
          </w:p>
        </w:tc>
        <w:tc>
          <w:tcPr>
            <w:tcW w:w="850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12 мес. 2012г.</w:t>
            </w:r>
          </w:p>
        </w:tc>
        <w:tc>
          <w:tcPr>
            <w:tcW w:w="1134" w:type="dxa"/>
            <w:vMerge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Первичная переработка нефти, 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12 031,5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10 031,9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10 374,8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83,38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86,23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103,42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 т. ч. ЛК-6У №1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3 116,8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3 472,8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77,92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86,82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111,42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         ЛК-6У №2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8 031,5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6 934,4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6 903,9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86,34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85,96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99,56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Каталитическое риформирование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2 010,0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1 427,1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1 570,6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78,14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110,06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Гидроочистка дизтоплива: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2 996,5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59,93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ind w:left="537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С–300/1, гидроочистка дизтоплива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1 820,4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1 313,8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91,02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65,69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72,17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ind w:left="537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Установка гидрочистки дизельного топлива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1 687,8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56,26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Гидроочистка керосинов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860,4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625,2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71,7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52,1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72,66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 т. ч. ЛК-6У №1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438,5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264,4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73,09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44,06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60,28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         ЛК-6У №2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421,1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356,9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70,18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59,49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84,77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Газофракционирование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675,0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524,3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574,5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77,68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85,11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109,56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 т. ч. ЛК-6У №1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209,2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217,8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92,98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96,81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104,12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          ЛК-6У №2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312,1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358,7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69,35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79,72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114,95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Блок выделения бензольного концентрата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1 048,5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1 233,4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78,48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92,32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117,64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Установка экстрактивной дистилляции бензола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227,7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153,9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191,8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67,58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84,25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124,67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Производство серы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58,3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59,41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75,94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127,82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Производство нефтебитумов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580,0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267,7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295,3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46,16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50,91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110,29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Лёгкий гидрокрекинг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465,0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329,7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360,1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70,91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77,45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109,22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Вакуумная дистилляция мазута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1 854,4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1 866,1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1 894,6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100,63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102,17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101,53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Гидроконверсия вакуумного газойля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1 500,0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1 366,5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1 265,6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91,1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84,37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92,61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Висбрекинг гудрона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1 068,1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1 150,2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89,01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95,85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107,68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lastRenderedPageBreak/>
              <w:t xml:space="preserve">Комбинированная установка каталитического крекинга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1 339,8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1 601,4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66,99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80,07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119,53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Комбинированная установка алкилирования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315,9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167,6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216,7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53,06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68,61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129,31</w:t>
            </w:r>
          </w:p>
        </w:tc>
      </w:tr>
      <w:tr w:rsidR="00E2601E" w:rsidRPr="00490279" w:rsidTr="00DC618E">
        <w:trPr>
          <w:cantSplit/>
          <w:trHeight w:val="250"/>
        </w:trPr>
        <w:tc>
          <w:tcPr>
            <w:tcW w:w="3119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 xml:space="preserve">Установка гидрообессеривания бензина каталитического крекинга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1 080,0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755,2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837,3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69,93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77,53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110,87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Использование мощностей технологических установок предприятия в 2012 году определялось оптимальными режимами работы установок, объёмом и качеством перерабатываемого сырья.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Рост загрузки мощностей по первичной переработке нефти на 3,4% связан с увеличением объёма переработки сырья в 2012 году.</w:t>
      </w:r>
    </w:p>
    <w:p w:rsidR="00583121" w:rsidRDefault="00583121" w:rsidP="00936F35">
      <w:pPr>
        <w:keepNext/>
        <w:spacing w:after="0" w:line="240" w:lineRule="auto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keepNext/>
        <w:spacing w:after="0" w:line="240" w:lineRule="auto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54" w:name="_Toc259626852"/>
      <w:bookmarkStart w:id="55" w:name="_Toc355077725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Открытое акционерное общество «Славнефть – Ярославский нефтеперерабатывающий завод им. Д.И. Менделеева» (Русойл)</w:t>
      </w:r>
      <w:bookmarkEnd w:id="54"/>
      <w:bookmarkEnd w:id="55"/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С целью оптимизации производственной структуры ОАО «НГК «Славнефть» в мае осуществила продажу своей доли (51,86%) в уставном капитале ОАО "Славнефть-ЯНПЗ им. Менделеева".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Компания прекратила контроль над деятельностью ОАО "Славнефть-ЯНПЗ им. Менделеева" 17 мая, в связи с чем производственно-финансовые показатели ОАО "Славнефть-ЯНПЗ им. Менделеева"  отражены в отчете с января по апрель 2012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За январь – апрель 2012 года переработано 7,3 тыс.тонн донного кислого гудрона и нейтрализовано 67,7 тыс.м3 кислой воды на установке КАРИ.</w:t>
      </w:r>
    </w:p>
    <w:p w:rsidR="00583121" w:rsidRDefault="00583121" w:rsidP="0058312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mallCaps/>
          <w:kern w:val="28"/>
          <w:sz w:val="18"/>
          <w:szCs w:val="18"/>
          <w:lang w:eastAsia="ru-RU"/>
        </w:rPr>
      </w:pPr>
      <w:bookmarkStart w:id="56" w:name="_Toc199326816"/>
      <w:bookmarkStart w:id="57" w:name="_Toc259626854"/>
    </w:p>
    <w:p w:rsidR="00936F35" w:rsidRPr="00490279" w:rsidRDefault="00936F35" w:rsidP="0058312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mallCaps/>
          <w:kern w:val="28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mallCaps/>
          <w:kern w:val="28"/>
          <w:sz w:val="18"/>
          <w:szCs w:val="18"/>
          <w:lang w:eastAsia="ru-RU"/>
        </w:rPr>
      </w:pPr>
      <w:bookmarkStart w:id="58" w:name="_Toc324929521"/>
      <w:bookmarkStart w:id="59" w:name="_Toc355077726"/>
      <w:r w:rsidRPr="00490279">
        <w:rPr>
          <w:rFonts w:ascii="Arial" w:eastAsia="Times New Roman" w:hAnsi="Arial" w:cs="Arial"/>
          <w:b/>
          <w:i/>
          <w:smallCaps/>
          <w:kern w:val="28"/>
          <w:sz w:val="18"/>
          <w:szCs w:val="18"/>
          <w:lang w:eastAsia="ru-RU"/>
        </w:rPr>
        <w:t>Реализация продукции в Российской Федерации</w:t>
      </w:r>
      <w:bookmarkEnd w:id="56"/>
      <w:bookmarkEnd w:id="57"/>
      <w:bookmarkEnd w:id="58"/>
      <w:bookmarkEnd w:id="59"/>
    </w:p>
    <w:p w:rsidR="00583121" w:rsidRPr="00490279" w:rsidRDefault="00583121" w:rsidP="00583121">
      <w:pPr>
        <w:keepNext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60" w:name="_Toc136424435"/>
      <w:bookmarkStart w:id="61" w:name="_Toc136424806"/>
      <w:bookmarkStart w:id="62" w:name="_Toc199326817"/>
      <w:bookmarkStart w:id="63" w:name="_Toc259626855"/>
      <w:bookmarkStart w:id="64" w:name="_Toc324929522"/>
      <w:bookmarkStart w:id="65" w:name="_Toc355077727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Реализация нефти</w:t>
      </w:r>
      <w:bookmarkEnd w:id="60"/>
      <w:bookmarkEnd w:id="61"/>
      <w:bookmarkEnd w:id="62"/>
      <w:bookmarkEnd w:id="63"/>
      <w:bookmarkEnd w:id="64"/>
      <w:bookmarkEnd w:id="65"/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Из 17</w:t>
      </w:r>
      <w:r w:rsidRPr="00490279">
        <w:rPr>
          <w:rFonts w:ascii="Arial" w:eastAsia="Times New Roman" w:hAnsi="Arial" w:cs="Arial"/>
          <w:sz w:val="18"/>
          <w:szCs w:val="18"/>
          <w:lang w:val="en-US" w:eastAsia="ru-RU"/>
        </w:rPr>
        <w:t> 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820.0  тыс тонн собственных ресурсов нефти, переданных в 2012 году ОАО «Газпром нефть» и ОАО  ТНК-ВР Холдинг» (общества, контролирующие ОАО «НГК «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Славнефть»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паритетных основах) и ими распределенных, на НПЗ </w:t>
      </w:r>
      <w:r w:rsidRPr="00490279">
        <w:rPr>
          <w:rFonts w:ascii="Arial" w:eastAsia="Times New Roman" w:hAnsi="Arial" w:cs="Arial"/>
          <w:spacing w:val="6"/>
          <w:sz w:val="18"/>
          <w:szCs w:val="18"/>
          <w:lang w:eastAsia="ru-RU"/>
        </w:rPr>
        <w:t>России поставлено 7</w:t>
      </w:r>
      <w:r w:rsidRPr="00490279">
        <w:rPr>
          <w:rFonts w:ascii="Arial" w:eastAsia="Times New Roman" w:hAnsi="Arial" w:cs="Arial"/>
          <w:spacing w:val="6"/>
          <w:sz w:val="18"/>
          <w:szCs w:val="18"/>
          <w:lang w:val="en-US" w:eastAsia="ru-RU"/>
        </w:rPr>
        <w:t> </w:t>
      </w:r>
      <w:r w:rsidRPr="00490279">
        <w:rPr>
          <w:rFonts w:ascii="Arial" w:eastAsia="Times New Roman" w:hAnsi="Arial" w:cs="Arial"/>
          <w:spacing w:val="6"/>
          <w:sz w:val="18"/>
          <w:szCs w:val="18"/>
          <w:lang w:eastAsia="ru-RU"/>
        </w:rPr>
        <w:t>588.1 тыс тонн, в Ближнее Зарубежье -  2</w:t>
      </w:r>
      <w:r w:rsidRPr="00490279">
        <w:rPr>
          <w:rFonts w:ascii="Arial" w:eastAsia="Times New Roman" w:hAnsi="Arial" w:cs="Arial"/>
          <w:spacing w:val="6"/>
          <w:sz w:val="18"/>
          <w:szCs w:val="18"/>
          <w:lang w:val="en-US" w:eastAsia="ru-RU"/>
        </w:rPr>
        <w:t> </w:t>
      </w:r>
      <w:r w:rsidRPr="00490279">
        <w:rPr>
          <w:rFonts w:ascii="Arial" w:eastAsia="Times New Roman" w:hAnsi="Arial" w:cs="Arial"/>
          <w:spacing w:val="6"/>
          <w:sz w:val="18"/>
          <w:szCs w:val="18"/>
          <w:lang w:eastAsia="ru-RU"/>
        </w:rPr>
        <w:t>973.1 тыс тонн, в том числе на ОАО «Мозырский НПЗ» - 2</w:t>
      </w:r>
      <w:r w:rsidRPr="00490279">
        <w:rPr>
          <w:rFonts w:ascii="Arial" w:eastAsia="Times New Roman" w:hAnsi="Arial" w:cs="Arial"/>
          <w:spacing w:val="6"/>
          <w:sz w:val="18"/>
          <w:szCs w:val="18"/>
          <w:lang w:val="en-US" w:eastAsia="ru-RU"/>
        </w:rPr>
        <w:t> </w:t>
      </w:r>
      <w:r w:rsidRPr="00490279">
        <w:rPr>
          <w:rFonts w:ascii="Arial" w:eastAsia="Times New Roman" w:hAnsi="Arial" w:cs="Arial"/>
          <w:spacing w:val="6"/>
          <w:sz w:val="18"/>
          <w:szCs w:val="18"/>
          <w:lang w:eastAsia="ru-RU"/>
        </w:rPr>
        <w:t>638.4 тыс тонн, ОАО «Нафтан» - 37.0 тыс тонн, Казахстан  – 297.7 тыс тонн</w:t>
      </w:r>
      <w:r w:rsidRPr="00490279">
        <w:rPr>
          <w:rFonts w:ascii="Arial" w:eastAsia="Times New Roman" w:hAnsi="Arial" w:cs="Arial"/>
          <w:spacing w:val="4"/>
          <w:sz w:val="18"/>
          <w:szCs w:val="18"/>
          <w:lang w:eastAsia="ru-RU"/>
        </w:rPr>
        <w:t>,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экспорт в Дальнее Зарубежье поставлено – 7 258.8 тыс тонн.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66" w:name="_Toc355077728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Реализация нефтепродуктов</w:t>
      </w:r>
      <w:bookmarkEnd w:id="66"/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2012 году общий объем реализации нефтепродуктов составил 0,362 тыс тонн, что на 36% ниже уровня 2011 года, в связи с завершением основных процедур по реорганизации сбытовых обществ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и передачей активов нефтепродуктообеспечения на балансы сбытовых обществ ОАО «ТНК-ВР Холдинг» и ОАО «Газпром нефть». 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jc w:val="center"/>
        <w:outlineLvl w:val="0"/>
        <w:rPr>
          <w:rFonts w:ascii="Arial" w:hAnsi="Arial" w:cs="Arial"/>
          <w:iCs/>
          <w:smallCaps/>
          <w:sz w:val="18"/>
          <w:szCs w:val="18"/>
        </w:rPr>
      </w:pPr>
      <w:bookmarkStart w:id="67" w:name="_Toc199326818"/>
      <w:bookmarkStart w:id="68" w:name="_Toc259626856"/>
      <w:bookmarkStart w:id="69" w:name="_Toc355077729"/>
      <w:r w:rsidRPr="00490279">
        <w:rPr>
          <w:rFonts w:ascii="Arial" w:hAnsi="Arial" w:cs="Arial"/>
          <w:b/>
          <w:iCs/>
          <w:smallCaps/>
          <w:kern w:val="28"/>
          <w:sz w:val="18"/>
          <w:szCs w:val="18"/>
        </w:rPr>
        <w:t xml:space="preserve">Финансовые результаты деятельности </w:t>
      </w:r>
      <w:bookmarkEnd w:id="67"/>
      <w:bookmarkEnd w:id="68"/>
      <w:r w:rsidRPr="00490279">
        <w:rPr>
          <w:rFonts w:ascii="Arial" w:hAnsi="Arial" w:cs="Arial"/>
          <w:b/>
          <w:iCs/>
          <w:smallCaps/>
          <w:kern w:val="28"/>
          <w:sz w:val="18"/>
          <w:szCs w:val="18"/>
        </w:rPr>
        <w:t>группы Славнефть</w:t>
      </w:r>
      <w:bookmarkEnd w:id="69"/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Финансовые результаты деятельности группы Славнефть сформировались, исходя из следующего фактического уровня цены на нефть (таблица 9).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Таблица 9. </w:t>
      </w:r>
      <w:r w:rsidRPr="00490279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0A4BA44A" wp14:editId="12EA6900">
            <wp:extent cx="5940425" cy="75927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rPr>
          <w:rFonts w:ascii="Arial" w:hAnsi="Arial" w:cs="Arial"/>
          <w:sz w:val="16"/>
        </w:rPr>
      </w:pPr>
      <w:r w:rsidRPr="00490279">
        <w:rPr>
          <w:rFonts w:ascii="Arial" w:hAnsi="Arial" w:cs="Arial"/>
          <w:sz w:val="18"/>
          <w:szCs w:val="18"/>
        </w:rPr>
        <w:t>* В расчете использованы среднемесячные курсы доллара США.</w:t>
      </w:r>
    </w:p>
    <w:p w:rsidR="00583121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70" w:name="_Toc355077730"/>
      <w:bookmarkStart w:id="71" w:name="_Toc199326820"/>
      <w:r w:rsidRPr="00490279">
        <w:rPr>
          <w:rFonts w:ascii="Arial" w:hAnsi="Arial" w:cs="Arial"/>
          <w:b/>
          <w:i/>
          <w:sz w:val="18"/>
          <w:szCs w:val="18"/>
        </w:rPr>
        <w:t>Выручка группы Славнефть</w:t>
      </w:r>
      <w:bookmarkEnd w:id="70"/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2012 году совокупная выручка по МСФО от реализации товаров и услуг основных предприятий, участвующих в бизнесе, составила (без учета внутреннего оборота) 198,7 млрд руб., что выше планового уровня 2012 года на 26,9% и связано c ростом цены на нефть.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Структура доходов группы Славнефть за отчетный период представлена на рисунке 7.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widowControl w:val="0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Рисунок 7. </w:t>
      </w:r>
    </w:p>
    <w:p w:rsidR="00583121" w:rsidRPr="00490279" w:rsidRDefault="00583121" w:rsidP="00583121">
      <w:pPr>
        <w:keepNext/>
        <w:jc w:val="center"/>
        <w:rPr>
          <w:rFonts w:ascii="Arial" w:hAnsi="Arial" w:cs="Arial"/>
          <w:i/>
          <w:iCs/>
        </w:rPr>
      </w:pPr>
      <w:r w:rsidRPr="00490279">
        <w:rPr>
          <w:rFonts w:ascii="Arial" w:hAnsi="Arial" w:cs="Arial"/>
          <w:noProof/>
          <w:lang w:eastAsia="ru-RU"/>
        </w:rPr>
        <w:drawing>
          <wp:inline distT="0" distB="0" distL="0" distR="0" wp14:anchorId="45CAEEBB" wp14:editId="15354B96">
            <wp:extent cx="3778370" cy="234638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83121" w:rsidRPr="00490279" w:rsidRDefault="00583121" w:rsidP="00583121">
      <w:pPr>
        <w:tabs>
          <w:tab w:val="left" w:pos="696"/>
        </w:tabs>
        <w:rPr>
          <w:rFonts w:ascii="Arial" w:hAnsi="Arial" w:cs="Arial"/>
        </w:rPr>
      </w:pPr>
    </w:p>
    <w:p w:rsidR="00583121" w:rsidRPr="00490279" w:rsidRDefault="00583121" w:rsidP="00583121">
      <w:pPr>
        <w:tabs>
          <w:tab w:val="left" w:pos="696"/>
        </w:tabs>
        <w:rPr>
          <w:rFonts w:ascii="Arial" w:hAnsi="Arial" w:cs="Arial"/>
        </w:rPr>
      </w:pPr>
      <w:r w:rsidRPr="00490279">
        <w:rPr>
          <w:rFonts w:ascii="Arial" w:hAnsi="Arial" w:cs="Arial"/>
          <w:sz w:val="18"/>
          <w:szCs w:val="18"/>
        </w:rPr>
        <w:t>Распределение выручки по направлениям деятельности представлено в таблице 10.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490279">
        <w:rPr>
          <w:rFonts w:ascii="Arial" w:hAnsi="Arial" w:cs="Arial"/>
          <w:sz w:val="18"/>
          <w:szCs w:val="18"/>
        </w:rPr>
        <w:t>Таблица</w:t>
      </w:r>
      <w:r w:rsidRPr="00490279">
        <w:rPr>
          <w:rFonts w:ascii="Arial" w:hAnsi="Arial" w:cs="Arial"/>
          <w:sz w:val="18"/>
          <w:szCs w:val="18"/>
          <w:lang w:val="en-US"/>
        </w:rPr>
        <w:t> </w:t>
      </w:r>
      <w:r w:rsidRPr="00490279">
        <w:rPr>
          <w:rFonts w:ascii="Arial" w:hAnsi="Arial" w:cs="Arial"/>
          <w:sz w:val="18"/>
          <w:szCs w:val="18"/>
        </w:rPr>
        <w:t>10</w:t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6"/>
        </w:rPr>
        <w:t>млрд</w:t>
      </w:r>
      <w:r w:rsidRPr="00490279">
        <w:rPr>
          <w:rFonts w:ascii="Arial" w:hAnsi="Arial" w:cs="Arial"/>
          <w:sz w:val="16"/>
          <w:lang w:val="en-US"/>
        </w:rPr>
        <w:t> </w:t>
      </w:r>
      <w:r w:rsidRPr="00490279">
        <w:rPr>
          <w:rFonts w:ascii="Arial" w:hAnsi="Arial" w:cs="Arial"/>
          <w:sz w:val="16"/>
        </w:rPr>
        <w:t>руб.</w:t>
      </w:r>
      <w:r w:rsidR="002F410C" w:rsidRPr="00490279">
        <w:rPr>
          <w:rFonts w:ascii="Arial" w:hAnsi="Arial" w:cs="Arial"/>
          <w:sz w:val="16"/>
        </w:rPr>
        <w:t xml:space="preserve"> </w:t>
      </w:r>
      <w:r w:rsidR="002F410C" w:rsidRPr="00490279">
        <w:rPr>
          <w:noProof/>
          <w:lang w:eastAsia="ru-RU"/>
        </w:rPr>
        <w:drawing>
          <wp:inline distT="0" distB="0" distL="0" distR="0" wp14:anchorId="38A17031" wp14:editId="2459D235">
            <wp:extent cx="5869172" cy="116958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166" cy="117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21" w:rsidRPr="00490279" w:rsidRDefault="00583121" w:rsidP="00583121">
      <w:pPr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  * В расчете использован средний курс доллара США за 2011 год 29,3874.</w:t>
      </w:r>
    </w:p>
    <w:p w:rsidR="00583121" w:rsidRPr="00490279" w:rsidRDefault="00583121" w:rsidP="00583121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72" w:name="_Toc355077731"/>
      <w:bookmarkStart w:id="73" w:name="_Toc259626859"/>
      <w:bookmarkStart w:id="74" w:name="_Toc324929526"/>
      <w:bookmarkStart w:id="75" w:name="_Toc199326821"/>
      <w:bookmarkEnd w:id="71"/>
      <w:r w:rsidRPr="00490279">
        <w:rPr>
          <w:rFonts w:ascii="Arial" w:hAnsi="Arial" w:cs="Arial"/>
          <w:b/>
          <w:i/>
          <w:sz w:val="18"/>
          <w:szCs w:val="18"/>
        </w:rPr>
        <w:t>Затраты</w:t>
      </w:r>
      <w:bookmarkEnd w:id="72"/>
    </w:p>
    <w:p w:rsidR="00583121" w:rsidRPr="00490279" w:rsidRDefault="00583121" w:rsidP="00583121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Общие затраты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hAnsi="Arial" w:cs="Arial"/>
          <w:sz w:val="18"/>
          <w:szCs w:val="18"/>
        </w:rPr>
        <w:t xml:space="preserve"> по МСФО (без учета внутреннего оборота) за 2012 год составили </w:t>
      </w:r>
      <w:r w:rsidR="00890FF9" w:rsidRPr="00490279">
        <w:rPr>
          <w:rFonts w:ascii="Arial" w:hAnsi="Arial" w:cs="Arial"/>
          <w:sz w:val="18"/>
          <w:szCs w:val="18"/>
        </w:rPr>
        <w:t>170,8</w:t>
      </w:r>
      <w:r w:rsidRPr="00490279">
        <w:rPr>
          <w:rFonts w:ascii="Arial" w:hAnsi="Arial" w:cs="Arial"/>
          <w:sz w:val="18"/>
          <w:szCs w:val="18"/>
        </w:rPr>
        <w:t xml:space="preserve"> млрд руб., что на </w:t>
      </w:r>
      <w:r w:rsidR="00196046" w:rsidRPr="00490279">
        <w:rPr>
          <w:rFonts w:ascii="Arial" w:hAnsi="Arial" w:cs="Arial"/>
          <w:sz w:val="18"/>
          <w:szCs w:val="18"/>
        </w:rPr>
        <w:t>16,0</w:t>
      </w:r>
      <w:r w:rsidRPr="00490279">
        <w:rPr>
          <w:rFonts w:ascii="Arial" w:hAnsi="Arial" w:cs="Arial"/>
          <w:sz w:val="18"/>
          <w:szCs w:val="18"/>
        </w:rPr>
        <w:t>% выше планового уровня и связано с ростом затрат по НДПИ в связи с ростом цен на нефть и увеличением затрат на добычу нефти (см. таблицу 11).</w:t>
      </w:r>
    </w:p>
    <w:p w:rsidR="00890FF9" w:rsidRPr="00490279" w:rsidRDefault="00583121" w:rsidP="00583121">
      <w:pPr>
        <w:spacing w:after="0" w:line="240" w:lineRule="auto"/>
        <w:ind w:right="14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Таблица 11. </w:t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Pr="00490279">
        <w:rPr>
          <w:rFonts w:ascii="Arial" w:hAnsi="Arial" w:cs="Arial"/>
          <w:sz w:val="18"/>
          <w:szCs w:val="18"/>
        </w:rPr>
        <w:tab/>
      </w:r>
      <w:r w:rsidR="00890FF9" w:rsidRPr="00490279">
        <w:rPr>
          <w:rFonts w:ascii="Arial" w:hAnsi="Arial" w:cs="Arial"/>
          <w:sz w:val="18"/>
          <w:szCs w:val="18"/>
        </w:rPr>
        <w:t xml:space="preserve">      </w:t>
      </w:r>
      <w:r w:rsidRPr="00490279">
        <w:rPr>
          <w:rFonts w:ascii="Arial" w:hAnsi="Arial" w:cs="Arial"/>
          <w:sz w:val="18"/>
          <w:szCs w:val="18"/>
        </w:rPr>
        <w:t>млрд руб.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418"/>
        <w:gridCol w:w="1417"/>
        <w:gridCol w:w="1418"/>
        <w:gridCol w:w="1417"/>
      </w:tblGrid>
      <w:tr w:rsidR="00E2601E" w:rsidRPr="00490279" w:rsidTr="00485CFA">
        <w:trPr>
          <w:trHeight w:val="330"/>
        </w:trPr>
        <w:tc>
          <w:tcPr>
            <w:tcW w:w="212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485C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2011г. (факт по US GAAP) *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2012г. (по МСФО)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Отклонение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факт 2012г./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план 2012г.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Отклонение</w:t>
            </w:r>
          </w:p>
        </w:tc>
      </w:tr>
      <w:tr w:rsidR="00E2601E" w:rsidRPr="00490279" w:rsidTr="00485CFA">
        <w:trPr>
          <w:trHeight w:val="525"/>
        </w:trPr>
        <w:tc>
          <w:tcPr>
            <w:tcW w:w="212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План (МСФО)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Факт (МСФО)</w:t>
            </w:r>
          </w:p>
        </w:tc>
        <w:tc>
          <w:tcPr>
            <w:tcW w:w="1418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90FF9" w:rsidRPr="00490279" w:rsidRDefault="00890FF9" w:rsidP="0089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факт 2012г./</w:t>
            </w: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факт 2011г.</w:t>
            </w:r>
          </w:p>
        </w:tc>
      </w:tr>
      <w:tr w:rsidR="00E2601E" w:rsidRPr="00490279" w:rsidTr="00485CFA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Затраты, 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7,8%</w:t>
            </w:r>
          </w:p>
        </w:tc>
      </w:tr>
      <w:tr w:rsidR="00E2601E" w:rsidRPr="00490279" w:rsidTr="00485CFA">
        <w:trPr>
          <w:trHeight w:val="300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Добыча нефти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-2,2%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-2,5%</w:t>
            </w:r>
          </w:p>
        </w:tc>
      </w:tr>
      <w:tr w:rsidR="00E2601E" w:rsidRPr="00490279" w:rsidTr="00485CFA">
        <w:trPr>
          <w:trHeight w:val="525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на нефтепереработку и нефтепродукты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3,9%</w:t>
            </w:r>
          </w:p>
        </w:tc>
      </w:tr>
      <w:tr w:rsidR="00E2601E" w:rsidRPr="00490279" w:rsidTr="00485CFA">
        <w:trPr>
          <w:trHeight w:val="525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Коммерческие, общехозяйственные и административные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19,3%</w:t>
            </w:r>
          </w:p>
        </w:tc>
      </w:tr>
      <w:tr w:rsidR="00E2601E" w:rsidRPr="00490279" w:rsidTr="00485CFA">
        <w:trPr>
          <w:trHeight w:val="525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Налоги, относимые на себестоимость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12,4%</w:t>
            </w:r>
          </w:p>
        </w:tc>
      </w:tr>
      <w:tr w:rsidR="00E2601E" w:rsidRPr="00490279" w:rsidTr="00485CFA">
        <w:trPr>
          <w:trHeight w:val="300"/>
        </w:trPr>
        <w:tc>
          <w:tcPr>
            <w:tcW w:w="212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Износ и амортизация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10,3%</w:t>
            </w:r>
          </w:p>
        </w:tc>
        <w:tc>
          <w:tcPr>
            <w:tcW w:w="141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14,6%</w:t>
            </w:r>
          </w:p>
        </w:tc>
      </w:tr>
      <w:tr w:rsidR="00E2601E" w:rsidRPr="00490279" w:rsidTr="00485CFA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490279">
              <w:rPr>
                <w:rFonts w:ascii="Arial" w:hAnsi="Arial" w:cs="Arial"/>
                <w:sz w:val="20"/>
                <w:szCs w:val="18"/>
              </w:rPr>
              <w:t xml:space="preserve">Прочие 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890FF9" w:rsidRPr="00490279" w:rsidRDefault="00890FF9" w:rsidP="00890F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-0,3</w:t>
            </w:r>
          </w:p>
        </w:tc>
      </w:tr>
    </w:tbl>
    <w:p w:rsidR="00890FF9" w:rsidRPr="00490279" w:rsidRDefault="00890FF9" w:rsidP="00583121">
      <w:pPr>
        <w:spacing w:after="0" w:line="240" w:lineRule="auto"/>
        <w:ind w:right="140"/>
        <w:jc w:val="both"/>
        <w:rPr>
          <w:rFonts w:ascii="Arial" w:hAnsi="Arial" w:cs="Arial"/>
          <w:sz w:val="16"/>
          <w:lang w:val="en-US"/>
        </w:rPr>
      </w:pPr>
    </w:p>
    <w:p w:rsidR="00583121" w:rsidRPr="00490279" w:rsidRDefault="00583121" w:rsidP="00583121">
      <w:pPr>
        <w:rPr>
          <w:rFonts w:ascii="Arial" w:hAnsi="Arial" w:cs="Arial"/>
          <w:sz w:val="16"/>
        </w:rPr>
      </w:pPr>
      <w:r w:rsidRPr="00490279">
        <w:rPr>
          <w:rFonts w:ascii="Arial" w:hAnsi="Arial" w:cs="Arial"/>
          <w:sz w:val="18"/>
          <w:szCs w:val="18"/>
        </w:rPr>
        <w:t xml:space="preserve">  * В расчете использован средний курс доллара США за 2011 год 29,3874.</w:t>
      </w:r>
    </w:p>
    <w:p w:rsidR="00583121" w:rsidRPr="00490279" w:rsidRDefault="00583121" w:rsidP="00583121">
      <w:pPr>
        <w:keepNext/>
        <w:widowControl w:val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lastRenderedPageBreak/>
        <w:t>Структура затрат в разрезе основных направлений деятельности группы Славнефть в 2012 году представлена на рисунке 8.</w:t>
      </w:r>
    </w:p>
    <w:p w:rsidR="00583121" w:rsidRPr="00490279" w:rsidRDefault="00583121" w:rsidP="00583121">
      <w:pPr>
        <w:keepNext/>
        <w:widowControl w:val="0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Рисунок 8. </w:t>
      </w:r>
    </w:p>
    <w:p w:rsidR="00583121" w:rsidRPr="00490279" w:rsidRDefault="00890FF9" w:rsidP="00583121">
      <w:pPr>
        <w:jc w:val="center"/>
        <w:rPr>
          <w:rFonts w:ascii="Arial" w:hAnsi="Arial" w:cs="Arial"/>
          <w:i/>
          <w:iCs/>
        </w:rPr>
      </w:pPr>
      <w:r w:rsidRPr="00490279">
        <w:rPr>
          <w:noProof/>
          <w:lang w:eastAsia="ru-RU"/>
        </w:rPr>
        <w:drawing>
          <wp:inline distT="0" distB="0" distL="0" distR="0" wp14:anchorId="24E1FCE5" wp14:editId="0CAF952B">
            <wp:extent cx="5493715" cy="2531059"/>
            <wp:effectExtent l="0" t="0" r="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76" w:name="_Toc355077732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Себестоимость добычи нефти и газа</w:t>
      </w:r>
      <w:bookmarkEnd w:id="73"/>
      <w:bookmarkEnd w:id="74"/>
      <w:bookmarkEnd w:id="76"/>
    </w:p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Фактические операционные затраты на добычу нефти и газа за 2012 год в соответствии</w:t>
      </w:r>
      <w:r w:rsidR="00DC618E"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с методикой МСФО составили 27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млрд руб., на уровне планового показателя </w:t>
      </w:r>
      <w:r w:rsidR="00DC618E" w:rsidRPr="00490279">
        <w:rPr>
          <w:rFonts w:ascii="Arial" w:eastAsia="Times New Roman" w:hAnsi="Arial" w:cs="Arial"/>
          <w:sz w:val="18"/>
          <w:szCs w:val="18"/>
          <w:lang w:eastAsia="ru-RU"/>
        </w:rPr>
        <w:t>(27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млрд руб.) </w:t>
      </w:r>
    </w:p>
    <w:p w:rsidR="00583121" w:rsidRPr="00490279" w:rsidRDefault="00583121" w:rsidP="00583121">
      <w:pPr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Регулируемый показатель ОРЕХ по итогам 2012 года зафиксирован на уровне 210,3</w:t>
      </w:r>
      <w:r w:rsidRPr="00490279">
        <w:rPr>
          <w:rFonts w:ascii="Arial" w:hAnsi="Arial" w:cs="Arial"/>
          <w:sz w:val="18"/>
          <w:szCs w:val="18"/>
          <w:lang w:val="en-US"/>
        </w:rPr>
        <w:t> </w:t>
      </w:r>
      <w:r w:rsidRPr="00490279">
        <w:rPr>
          <w:rFonts w:ascii="Arial" w:hAnsi="Arial" w:cs="Arial"/>
          <w:sz w:val="18"/>
          <w:szCs w:val="18"/>
        </w:rPr>
        <w:t>руб./барр, что на 0,9% выше запланированного уровня (208,4 руб./барр.).</w:t>
      </w:r>
    </w:p>
    <w:p w:rsidR="00583121" w:rsidRPr="00490279" w:rsidRDefault="00583121" w:rsidP="00583121">
      <w:pPr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 таблице 12 представлен факторный анализ влияния изменений фактических показателей добычи нефти, затрат на формирование итогового показателя ОРЕХ за 2012 год.</w:t>
      </w:r>
    </w:p>
    <w:p w:rsidR="00583121" w:rsidRPr="00490279" w:rsidRDefault="00583121" w:rsidP="00583121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Таблица 12. </w:t>
      </w:r>
    </w:p>
    <w:p w:rsidR="00583121" w:rsidRPr="00490279" w:rsidRDefault="00583121" w:rsidP="00583121">
      <w:pPr>
        <w:spacing w:after="0" w:line="240" w:lineRule="auto"/>
        <w:jc w:val="right"/>
        <w:rPr>
          <w:rFonts w:ascii="Arial" w:hAnsi="Arial" w:cs="Arial"/>
          <w:bCs/>
          <w:i/>
          <w:sz w:val="18"/>
          <w:szCs w:val="18"/>
        </w:rPr>
      </w:pPr>
      <w:r w:rsidRPr="00490279">
        <w:rPr>
          <w:rFonts w:ascii="Arial" w:hAnsi="Arial" w:cs="Arial"/>
          <w:bCs/>
          <w:i/>
          <w:sz w:val="18"/>
          <w:szCs w:val="18"/>
        </w:rPr>
        <w:t>руб./ барр.</w:t>
      </w:r>
    </w:p>
    <w:tbl>
      <w:tblPr>
        <w:tblW w:w="9356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843"/>
        <w:gridCol w:w="1701"/>
        <w:gridCol w:w="2268"/>
      </w:tblGrid>
      <w:tr w:rsidR="00E2601E" w:rsidRPr="00490279" w:rsidTr="005C3F4D">
        <w:trPr>
          <w:trHeight w:hRule="exact" w:val="454"/>
          <w:jc w:val="center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C3F4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iCs/>
                <w:sz w:val="18"/>
                <w:szCs w:val="18"/>
              </w:rPr>
              <w:t>2012г. план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C3F4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iCs/>
                <w:sz w:val="18"/>
                <w:szCs w:val="18"/>
              </w:rPr>
              <w:t>2012г. факт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C3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+/-</w:t>
            </w:r>
          </w:p>
        </w:tc>
      </w:tr>
      <w:tr w:rsidR="00E2601E" w:rsidRPr="00490279" w:rsidTr="00DC618E">
        <w:trPr>
          <w:cantSplit/>
          <w:trHeight w:hRule="exact" w:val="397"/>
          <w:jc w:val="center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ОРЕХ, всего по блоку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208,4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210,3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  <w:t>+1,89</w:t>
            </w:r>
          </w:p>
        </w:tc>
      </w:tr>
      <w:tr w:rsidR="00E2601E" w:rsidRPr="00490279" w:rsidTr="00DC618E">
        <w:trPr>
          <w:cantSplit/>
          <w:trHeight w:hRule="exact" w:val="397"/>
          <w:jc w:val="center"/>
        </w:trPr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за счет добычи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ub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+1,98</w:t>
            </w:r>
          </w:p>
        </w:tc>
      </w:tr>
      <w:tr w:rsidR="00E2601E" w:rsidRPr="00490279" w:rsidTr="00DC618E">
        <w:trPr>
          <w:cantSplit/>
          <w:trHeight w:hRule="exact" w:val="397"/>
          <w:jc w:val="center"/>
        </w:trPr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за счет затрат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-0,09</w:t>
            </w:r>
          </w:p>
        </w:tc>
      </w:tr>
    </w:tbl>
    <w:p w:rsidR="00583121" w:rsidRPr="00490279" w:rsidRDefault="00583121" w:rsidP="00583121">
      <w:pPr>
        <w:jc w:val="right"/>
        <w:rPr>
          <w:rFonts w:ascii="Arial" w:hAnsi="Arial" w:cs="Arial"/>
          <w:bCs/>
          <w:i/>
          <w:sz w:val="18"/>
          <w:szCs w:val="18"/>
          <w:highlight w:val="yellow"/>
        </w:rPr>
      </w:pPr>
    </w:p>
    <w:p w:rsidR="00583121" w:rsidRPr="00490279" w:rsidRDefault="00583121" w:rsidP="00583121">
      <w:pPr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b/>
          <w:i/>
          <w:sz w:val="18"/>
          <w:szCs w:val="18"/>
        </w:rPr>
        <w:t>По Мегионскому блоку</w:t>
      </w:r>
      <w:r w:rsidRPr="00490279">
        <w:rPr>
          <w:rFonts w:ascii="Arial" w:hAnsi="Arial" w:cs="Arial"/>
          <w:sz w:val="18"/>
          <w:szCs w:val="18"/>
        </w:rPr>
        <w:t xml:space="preserve"> перерасход составил 30,4 млн руб. Статьи, по которым произошло изменение относительно плана:</w:t>
      </w:r>
    </w:p>
    <w:p w:rsidR="00583121" w:rsidRPr="00490279" w:rsidRDefault="00583121" w:rsidP="00583121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b/>
          <w:sz w:val="18"/>
          <w:szCs w:val="18"/>
        </w:rPr>
        <w:t xml:space="preserve">Электроэнергия (-217,6 млн руб.) </w:t>
      </w:r>
      <w:r w:rsidRPr="00490279">
        <w:rPr>
          <w:rFonts w:ascii="Arial" w:hAnsi="Arial" w:cs="Arial"/>
          <w:sz w:val="18"/>
          <w:szCs w:val="18"/>
        </w:rPr>
        <w:t>- сокращение затрат по сравнению с планом образовалось  вследствие снижения средней стоимости 1 кВт*ч к бизнес-плану на 5,9%.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ГТМ (+444,5 млн руб.)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- увеличение количества операций ГТМ, в том числе реализация дополнительной программы ГТМ с целью компенсации добычи нефти по отмененным кустам и обеспечения входной добычи 2013г. (+506,7 млн руб.) и изменение номенклатуры ГТМ и выполнение более легких ремонтов  (- 62,2 млн руб.).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Базовые ПРС и КРС (-152,3 млн руб.)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- изменение номенклатуры и количества базовых ремонтов, выполнение КРС силами ПРС (- 31,1 млн руб.), сокращение ПРС (рост СНО, выполнение КРС силами ПРС) (- 121,2 млн руб.).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Прочие расходы (-49,7 млн руб.)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- изменение графика капитального ремонта (ТГ-3 ГТЭС Ново-Покурского ЛУ) (-31,0 млн руб.), уменьшение расходов на сервисное обслуживание НПО (изменение межремонтного периода насосного оборудования, увеличение часов наработки до проведения ППР) (– 18,7 млн руб.).</w:t>
      </w:r>
    </w:p>
    <w:p w:rsidR="00583121" w:rsidRPr="00490279" w:rsidRDefault="00583121" w:rsidP="0058312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583121" w:rsidRPr="00490279" w:rsidRDefault="00583121" w:rsidP="005831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b/>
          <w:i/>
          <w:sz w:val="18"/>
          <w:szCs w:val="18"/>
        </w:rPr>
        <w:lastRenderedPageBreak/>
        <w:t>По Красноярскому блоку</w:t>
      </w:r>
      <w:r w:rsidRPr="00490279">
        <w:rPr>
          <w:rFonts w:ascii="Arial" w:hAnsi="Arial" w:cs="Arial"/>
          <w:sz w:val="18"/>
          <w:szCs w:val="18"/>
        </w:rPr>
        <w:t xml:space="preserve"> экономия по эксплуатационным затратам составила 42,0 млн руб. Сокращение затрат явилось результатом проведения программы по оптимизации и  снижения договорной стоимости работ.</w:t>
      </w: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  <w:sz w:val="18"/>
          <w:szCs w:val="18"/>
          <w:lang w:eastAsia="ru-RU"/>
        </w:rPr>
      </w:pPr>
      <w:bookmarkStart w:id="77" w:name="_Toc259626860"/>
      <w:bookmarkStart w:id="78" w:name="_Toc355077733"/>
      <w:bookmarkStart w:id="79" w:name="_Toc199326825"/>
      <w:bookmarkStart w:id="80" w:name="_Toc259626862"/>
      <w:bookmarkEnd w:id="75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Динамика себестоимости ОАО «Славнефть-ЯНОС».</w:t>
      </w:r>
      <w:bookmarkEnd w:id="77"/>
      <w:bookmarkEnd w:id="78"/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Удельные затраты на ОАО "Славнефть-ЯНОС" в 2012 году составили 906,0 руб./т, что ниже плана на -63,7 руб./т и выше факта предыдущего года на 9,1%.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13. Себестоимость производства ОАО «Славнефть-ЯНОС».</w:t>
      </w:r>
      <w:r w:rsidRPr="00490279">
        <w:rPr>
          <w:rFonts w:ascii="Arial" w:hAnsi="Arial" w:cs="Arial"/>
          <w:i/>
          <w:iCs/>
          <w:sz w:val="18"/>
          <w:szCs w:val="18"/>
          <w:vertAlign w:val="superscript"/>
        </w:rPr>
        <w:footnoteReference w:id="4"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bCs/>
          <w:i/>
          <w:sz w:val="18"/>
          <w:szCs w:val="18"/>
        </w:rPr>
        <w:t>руб./т</w:t>
      </w:r>
    </w:p>
    <w:tbl>
      <w:tblPr>
        <w:tblW w:w="50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03"/>
        <w:gridCol w:w="1992"/>
        <w:gridCol w:w="2051"/>
      </w:tblGrid>
      <w:tr w:rsidR="00E2601E" w:rsidRPr="00490279" w:rsidTr="00DC618E">
        <w:trPr>
          <w:trHeight w:val="226"/>
          <w:jc w:val="center"/>
        </w:trPr>
        <w:tc>
          <w:tcPr>
            <w:tcW w:w="154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Себестоимость</w:t>
            </w:r>
          </w:p>
        </w:tc>
        <w:tc>
          <w:tcPr>
            <w:tcW w:w="12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2011 год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2012 год (план)</w:t>
            </w:r>
          </w:p>
        </w:tc>
        <w:tc>
          <w:tcPr>
            <w:tcW w:w="111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2012 год (факт)</w:t>
            </w:r>
          </w:p>
        </w:tc>
      </w:tr>
      <w:tr w:rsidR="00E2601E" w:rsidRPr="00490279" w:rsidTr="00DC618E">
        <w:trPr>
          <w:trHeight w:val="255"/>
          <w:jc w:val="center"/>
        </w:trPr>
        <w:tc>
          <w:tcPr>
            <w:tcW w:w="1543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snapToGrid w:val="0"/>
                <w:sz w:val="18"/>
                <w:szCs w:val="18"/>
              </w:rPr>
              <w:t>ОАО "Славнефть-ЯНОС"</w:t>
            </w:r>
          </w:p>
        </w:tc>
        <w:tc>
          <w:tcPr>
            <w:tcW w:w="1254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830,3</w:t>
            </w:r>
          </w:p>
        </w:tc>
        <w:tc>
          <w:tcPr>
            <w:tcW w:w="1085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969,7</w:t>
            </w:r>
          </w:p>
        </w:tc>
        <w:tc>
          <w:tcPr>
            <w:tcW w:w="1117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906,0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Факторный анализ изменения удельных затрат от плана представлен в таблице 14.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Таблица 14. </w:t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bCs/>
          <w:i/>
          <w:sz w:val="18"/>
          <w:szCs w:val="18"/>
        </w:rPr>
        <w:t>руб./т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1"/>
        <w:gridCol w:w="1365"/>
        <w:gridCol w:w="1412"/>
        <w:gridCol w:w="1486"/>
      </w:tblGrid>
      <w:tr w:rsidR="00E2601E" w:rsidRPr="00490279" w:rsidTr="00DC618E">
        <w:tc>
          <w:tcPr>
            <w:tcW w:w="26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74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2012г. План</w:t>
            </w: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2012г. Факт</w:t>
            </w:r>
          </w:p>
        </w:tc>
        <w:tc>
          <w:tcPr>
            <w:tcW w:w="80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+/-</w:t>
            </w:r>
          </w:p>
        </w:tc>
      </w:tr>
      <w:tr w:rsidR="00E2601E" w:rsidRPr="00490279" w:rsidTr="00DC618E">
        <w:tc>
          <w:tcPr>
            <w:tcW w:w="267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Удельные затраты</w:t>
            </w:r>
          </w:p>
        </w:tc>
        <w:tc>
          <w:tcPr>
            <w:tcW w:w="743" w:type="pct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969,7</w:t>
            </w:r>
          </w:p>
        </w:tc>
        <w:tc>
          <w:tcPr>
            <w:tcW w:w="769" w:type="pct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906,0</w:t>
            </w:r>
          </w:p>
        </w:tc>
        <w:tc>
          <w:tcPr>
            <w:tcW w:w="80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-63,7</w:t>
            </w:r>
          </w:p>
        </w:tc>
      </w:tr>
      <w:tr w:rsidR="00E2601E" w:rsidRPr="00490279" w:rsidTr="00DC618E">
        <w:trPr>
          <w:trHeight w:val="313"/>
        </w:trPr>
        <w:tc>
          <w:tcPr>
            <w:tcW w:w="2679" w:type="pct"/>
            <w:tcBorders>
              <w:lef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за счёт объема переработки</w:t>
            </w:r>
          </w:p>
        </w:tc>
        <w:tc>
          <w:tcPr>
            <w:tcW w:w="743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69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09" w:type="pct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-36,9</w:t>
            </w:r>
          </w:p>
        </w:tc>
      </w:tr>
      <w:tr w:rsidR="00583121" w:rsidRPr="00490279" w:rsidTr="00DC618E">
        <w:trPr>
          <w:trHeight w:val="349"/>
        </w:trPr>
        <w:tc>
          <w:tcPr>
            <w:tcW w:w="2679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Изменение за счёт себестоимости</w:t>
            </w:r>
          </w:p>
        </w:tc>
        <w:tc>
          <w:tcPr>
            <w:tcW w:w="743" w:type="pct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69" w:type="pct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0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-27,0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На отклонение за счет себестоимости (-27,0 руб./т) повлияли следующие факторы:</w:t>
      </w:r>
    </w:p>
    <w:p w:rsidR="00583121" w:rsidRPr="00490279" w:rsidRDefault="00583121" w:rsidP="0058312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сокращение расходов энергоресурсов за счет реализации технических решений, направленных на экономию энергоресурсов и изменение тарифов естественных монополий от плана (-47,3 руб./т);</w:t>
      </w:r>
    </w:p>
    <w:p w:rsidR="00583121" w:rsidRPr="00490279" w:rsidRDefault="00583121" w:rsidP="0058312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изменение методики учета капитальных ремонтов (+17,2 руб./т);</w:t>
      </w:r>
    </w:p>
    <w:p w:rsidR="00583121" w:rsidRPr="00490279" w:rsidRDefault="00583121" w:rsidP="0058312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уточнение амортизации по новым объектам (+3,2 руб./т);</w:t>
      </w:r>
    </w:p>
    <w:p w:rsidR="00583121" w:rsidRPr="00490279" w:rsidRDefault="00583121" w:rsidP="00583121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прочие (-0,1 руб./т).</w:t>
      </w:r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val="en-US" w:eastAsia="ru-RU"/>
        </w:rPr>
      </w:pPr>
      <w:bookmarkStart w:id="81" w:name="_Toc259626861"/>
    </w:p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82" w:name="_Toc355077734"/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Динамика себестоимости на ОАО «Мозырский НПЗ»</w:t>
      </w:r>
      <w:bookmarkEnd w:id="81"/>
      <w:bookmarkEnd w:id="82"/>
    </w:p>
    <w:p w:rsidR="00583121" w:rsidRPr="00490279" w:rsidRDefault="00583121" w:rsidP="00583121">
      <w:pPr>
        <w:keepNext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Удельные затраты на переработку сырья</w:t>
      </w:r>
      <w:r w:rsidRPr="00490279">
        <w:rPr>
          <w:rFonts w:ascii="Arial" w:hAnsi="Arial" w:cs="Arial"/>
          <w:sz w:val="18"/>
          <w:szCs w:val="18"/>
          <w:vertAlign w:val="superscript"/>
        </w:rPr>
        <w:footnoteReference w:id="5"/>
      </w:r>
      <w:r w:rsidRPr="00490279">
        <w:rPr>
          <w:rFonts w:ascii="Arial" w:hAnsi="Arial" w:cs="Arial"/>
          <w:sz w:val="18"/>
          <w:szCs w:val="18"/>
        </w:rPr>
        <w:t xml:space="preserve"> на ОАО «Мозырский НПЗ» в 2012 году составили 1 198,8 рос.руб./т, что ниже плана на 35,0 рос.руб./т (-3,0%) и на 199,7 рос.руб./т (+20,0%) выше факта предыдущего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Динамика себестоимости представлена в таблице 15.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15. Себестоимость производства ОАО «Мозырский НПЗ»</w:t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</w:r>
      <w:r w:rsidRPr="00490279">
        <w:rPr>
          <w:rFonts w:ascii="Arial" w:hAnsi="Arial" w:cs="Arial"/>
          <w:i/>
          <w:iCs/>
          <w:sz w:val="18"/>
          <w:szCs w:val="18"/>
        </w:rPr>
        <w:tab/>
        <w:t xml:space="preserve">         </w:t>
      </w:r>
      <w:r w:rsidRPr="00490279">
        <w:rPr>
          <w:rFonts w:ascii="Arial" w:hAnsi="Arial" w:cs="Arial"/>
          <w:bCs/>
          <w:i/>
          <w:sz w:val="18"/>
          <w:szCs w:val="18"/>
        </w:rPr>
        <w:t>рос.руб./т</w:t>
      </w:r>
    </w:p>
    <w:tbl>
      <w:tblPr>
        <w:tblW w:w="49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302"/>
        <w:gridCol w:w="1994"/>
        <w:gridCol w:w="1875"/>
      </w:tblGrid>
      <w:tr w:rsidR="00E2601E" w:rsidRPr="00490279" w:rsidTr="00DC618E">
        <w:trPr>
          <w:trHeight w:val="226"/>
          <w:jc w:val="center"/>
        </w:trPr>
        <w:tc>
          <w:tcPr>
            <w:tcW w:w="157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Себестоимость</w:t>
            </w:r>
          </w:p>
        </w:tc>
        <w:tc>
          <w:tcPr>
            <w:tcW w:w="127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Факт </w:t>
            </w:r>
          </w:p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2011 год</w:t>
            </w:r>
          </w:p>
        </w:tc>
        <w:tc>
          <w:tcPr>
            <w:tcW w:w="11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План </w:t>
            </w:r>
          </w:p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2012 год</w:t>
            </w:r>
          </w:p>
        </w:tc>
        <w:tc>
          <w:tcPr>
            <w:tcW w:w="104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Факт</w:t>
            </w:r>
          </w:p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2012 год</w:t>
            </w:r>
          </w:p>
        </w:tc>
      </w:tr>
      <w:tr w:rsidR="00E2601E" w:rsidRPr="00490279" w:rsidTr="00DC618E">
        <w:trPr>
          <w:trHeight w:val="379"/>
          <w:jc w:val="center"/>
        </w:trPr>
        <w:tc>
          <w:tcPr>
            <w:tcW w:w="1574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snapToGrid w:val="0"/>
                <w:sz w:val="18"/>
                <w:szCs w:val="18"/>
              </w:rPr>
              <w:t>ОАО «МНПЗ»</w:t>
            </w:r>
          </w:p>
        </w:tc>
        <w:tc>
          <w:tcPr>
            <w:tcW w:w="1278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999,1</w:t>
            </w:r>
          </w:p>
        </w:tc>
        <w:tc>
          <w:tcPr>
            <w:tcW w:w="1107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1 233,7</w:t>
            </w:r>
          </w:p>
        </w:tc>
        <w:tc>
          <w:tcPr>
            <w:tcW w:w="1042" w:type="pct"/>
            <w:tcBorders>
              <w:top w:val="double" w:sz="4" w:space="0" w:color="auto"/>
            </w:tcBorders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1 198,8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b/>
          <w:snapToGrid w:val="0"/>
          <w:sz w:val="18"/>
          <w:szCs w:val="18"/>
        </w:rPr>
        <w:t>Справочно:</w:t>
      </w:r>
      <w:r w:rsidRPr="00490279">
        <w:rPr>
          <w:rFonts w:ascii="Arial" w:hAnsi="Arial" w:cs="Arial"/>
          <w:sz w:val="18"/>
          <w:szCs w:val="18"/>
        </w:rPr>
        <w:tab/>
      </w:r>
    </w:p>
    <w:tbl>
      <w:tblPr>
        <w:tblW w:w="494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2302"/>
        <w:gridCol w:w="1994"/>
        <w:gridCol w:w="1875"/>
      </w:tblGrid>
      <w:tr w:rsidR="00E2601E" w:rsidRPr="00490279" w:rsidTr="00DC618E">
        <w:trPr>
          <w:trHeight w:val="255"/>
          <w:jc w:val="center"/>
        </w:trPr>
        <w:tc>
          <w:tcPr>
            <w:tcW w:w="1574" w:type="pct"/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ind w:firstLine="157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90279">
              <w:rPr>
                <w:rFonts w:ascii="Arial" w:hAnsi="Arial" w:cs="Arial"/>
                <w:snapToGrid w:val="0"/>
                <w:sz w:val="18"/>
                <w:szCs w:val="18"/>
              </w:rPr>
              <w:t>Курс бел.руб/рос.руб.</w:t>
            </w:r>
          </w:p>
        </w:tc>
        <w:tc>
          <w:tcPr>
            <w:tcW w:w="1278" w:type="pct"/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157,43</w:t>
            </w:r>
          </w:p>
        </w:tc>
        <w:tc>
          <w:tcPr>
            <w:tcW w:w="1107" w:type="pct"/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042" w:type="pct"/>
            <w:noWrap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268,28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Факторный анализ изменения удельных затрат от плана представлен в таблице 16.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16. Факторный анализ изменения удельных затрат ОАО «Мозырский НПЗ».</w:t>
      </w:r>
      <w:r w:rsidRPr="00490279">
        <w:rPr>
          <w:rFonts w:ascii="Arial" w:hAnsi="Arial" w:cs="Arial"/>
          <w:i/>
          <w:iCs/>
          <w:sz w:val="18"/>
          <w:szCs w:val="18"/>
        </w:rPr>
        <w:tab/>
        <w:t xml:space="preserve">          </w:t>
      </w:r>
      <w:r w:rsidRPr="00490279">
        <w:rPr>
          <w:rFonts w:ascii="Arial" w:hAnsi="Arial" w:cs="Arial"/>
          <w:bCs/>
          <w:i/>
          <w:sz w:val="18"/>
          <w:szCs w:val="18"/>
        </w:rPr>
        <w:t>рос.руб./т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2"/>
        <w:gridCol w:w="1366"/>
        <w:gridCol w:w="1410"/>
        <w:gridCol w:w="1484"/>
      </w:tblGrid>
      <w:tr w:rsidR="00E2601E" w:rsidRPr="00490279" w:rsidTr="00DC618E">
        <w:tc>
          <w:tcPr>
            <w:tcW w:w="26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75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План 2012г.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Факт 2012г.</w:t>
            </w:r>
          </w:p>
        </w:tc>
        <w:tc>
          <w:tcPr>
            <w:tcW w:w="81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+/-</w:t>
            </w:r>
          </w:p>
        </w:tc>
      </w:tr>
      <w:tr w:rsidR="00E2601E" w:rsidRPr="00490279" w:rsidTr="00DC618E">
        <w:trPr>
          <w:trHeight w:val="344"/>
        </w:trPr>
        <w:tc>
          <w:tcPr>
            <w:tcW w:w="265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Удельные затраты</w:t>
            </w:r>
          </w:p>
        </w:tc>
        <w:tc>
          <w:tcPr>
            <w:tcW w:w="753" w:type="pct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1 233,7</w:t>
            </w:r>
          </w:p>
        </w:tc>
        <w:tc>
          <w:tcPr>
            <w:tcW w:w="777" w:type="pct"/>
            <w:tcBorders>
              <w:top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1 198,8</w:t>
            </w:r>
          </w:p>
        </w:tc>
        <w:tc>
          <w:tcPr>
            <w:tcW w:w="81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-35,0</w:t>
            </w:r>
          </w:p>
        </w:tc>
      </w:tr>
      <w:tr w:rsidR="00E2601E" w:rsidRPr="00490279" w:rsidTr="00DC618E">
        <w:trPr>
          <w:trHeight w:val="291"/>
        </w:trPr>
        <w:tc>
          <w:tcPr>
            <w:tcW w:w="2652" w:type="pct"/>
            <w:tcBorders>
              <w:lef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Изменение за счёт курса бел.рубля</w:t>
            </w:r>
          </w:p>
        </w:tc>
        <w:tc>
          <w:tcPr>
            <w:tcW w:w="753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-84,1</w:t>
            </w:r>
          </w:p>
        </w:tc>
      </w:tr>
      <w:tr w:rsidR="00E2601E" w:rsidRPr="00490279" w:rsidTr="00DC618E">
        <w:trPr>
          <w:trHeight w:val="313"/>
        </w:trPr>
        <w:tc>
          <w:tcPr>
            <w:tcW w:w="2652" w:type="pct"/>
            <w:tcBorders>
              <w:lef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Изменение за счёт объема переработки</w:t>
            </w:r>
          </w:p>
        </w:tc>
        <w:tc>
          <w:tcPr>
            <w:tcW w:w="753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tcBorders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+0,4</w:t>
            </w:r>
          </w:p>
        </w:tc>
      </w:tr>
      <w:tr w:rsidR="00E2601E" w:rsidRPr="00490279" w:rsidTr="00DC618E">
        <w:trPr>
          <w:trHeight w:val="349"/>
        </w:trPr>
        <w:tc>
          <w:tcPr>
            <w:tcW w:w="265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Изменение за счёт себестоимости</w:t>
            </w:r>
          </w:p>
        </w:tc>
        <w:tc>
          <w:tcPr>
            <w:tcW w:w="753" w:type="pct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  <w:tcBorders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+48,7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lastRenderedPageBreak/>
        <w:t>На отклонение фактической удельной себестоимости переработки углеводородного сырья от плановой (+48,7 руб./т), в сопоставимых по курсу рос.рубля условиях, повлияли следующие факторы:</w:t>
      </w:r>
    </w:p>
    <w:p w:rsidR="00583121" w:rsidRPr="00490279" w:rsidRDefault="00583121" w:rsidP="00583121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рост расходов на ремонтные работы из-за удорожания стоимости работ и удорожание стоимости вспомогательных материалов для ремонта и техобслуживания (+29,0 руб./т);</w:t>
      </w:r>
    </w:p>
    <w:p w:rsidR="00583121" w:rsidRPr="00490279" w:rsidRDefault="00583121" w:rsidP="00583121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рост расходов на оплату труда, в связи с индексацией Совмином РБ тарифной ставки I разряда, выше уровня БП (+24,9 руб./т);</w:t>
      </w:r>
    </w:p>
    <w:p w:rsidR="00583121" w:rsidRPr="00490279" w:rsidRDefault="00583121" w:rsidP="00583121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оптимизация расходов на присадки (-21,2 руб./т);</w:t>
      </w:r>
    </w:p>
    <w:p w:rsidR="00583121" w:rsidRPr="00490279" w:rsidRDefault="00583121" w:rsidP="00583121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рост потребления теплоэнергии, в результате снижения собственной выработки из-за проведения внеплановых ремонтных работ и низких температур в 1 кв. 2012 г. (+14,2 руб./т);</w:t>
      </w:r>
    </w:p>
    <w:p w:rsidR="00583121" w:rsidRPr="00490279" w:rsidRDefault="00583121" w:rsidP="00583121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прочие факторы (+1,8 руб./т).</w:t>
      </w:r>
    </w:p>
    <w:p w:rsidR="00583121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36F35" w:rsidRDefault="00936F35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936F35" w:rsidRDefault="00936F35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A9765A" w:rsidRPr="00490279" w:rsidRDefault="00A9765A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83" w:name="_Toc355077735"/>
      <w:bookmarkEnd w:id="79"/>
      <w:bookmarkEnd w:id="80"/>
      <w:r w:rsidRPr="00490279">
        <w:rPr>
          <w:rFonts w:ascii="Arial" w:hAnsi="Arial" w:cs="Arial"/>
          <w:b/>
          <w:i/>
          <w:sz w:val="18"/>
          <w:szCs w:val="18"/>
        </w:rPr>
        <w:t>Капитальные вложения</w:t>
      </w:r>
      <w:bookmarkEnd w:id="83"/>
    </w:p>
    <w:p w:rsidR="00583121" w:rsidRPr="00490279" w:rsidRDefault="00583121" w:rsidP="00583121">
      <w:pPr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Объем капитальных вложений по МСФО в 2012 году составил 33,6 млрд руб., что на 3,6% ниже уровня 2011 года и на 0,7% выше уровня плана.</w:t>
      </w:r>
    </w:p>
    <w:p w:rsidR="00583121" w:rsidRPr="00490279" w:rsidRDefault="00583121" w:rsidP="00583121">
      <w:pPr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Распределение инвестиций по отраслям следующее: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добыча нефти и геолого-разведочные работы – 77,7%;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нефтепереработка – 22,1%;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прочие – 0,2%.</w:t>
      </w:r>
    </w:p>
    <w:p w:rsidR="00583121" w:rsidRDefault="00583121" w:rsidP="00936F35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936F35" w:rsidRPr="00490279" w:rsidRDefault="00936F35" w:rsidP="00936F35">
      <w:pPr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jc w:val="both"/>
        <w:rPr>
          <w:rFonts w:ascii="Arial" w:hAnsi="Arial" w:cs="Arial"/>
          <w:i/>
          <w:sz w:val="18"/>
          <w:szCs w:val="18"/>
        </w:rPr>
      </w:pPr>
      <w:r w:rsidRPr="00490279">
        <w:rPr>
          <w:rFonts w:ascii="Arial" w:hAnsi="Arial" w:cs="Arial"/>
          <w:i/>
          <w:sz w:val="18"/>
          <w:szCs w:val="18"/>
        </w:rPr>
        <w:t>Рисунок 9. Реализация инвестиционной программы.</w:t>
      </w:r>
    </w:p>
    <w:p w:rsidR="00583121" w:rsidRPr="00490279" w:rsidRDefault="00583121" w:rsidP="00583121">
      <w:pPr>
        <w:jc w:val="center"/>
        <w:rPr>
          <w:rFonts w:ascii="Arial" w:hAnsi="Arial" w:cs="Arial"/>
        </w:rPr>
      </w:pPr>
      <w:r w:rsidRPr="00490279">
        <w:rPr>
          <w:rFonts w:ascii="Arial" w:hAnsi="Arial" w:cs="Arial"/>
          <w:noProof/>
          <w:lang w:eastAsia="ru-RU"/>
        </w:rPr>
        <w:drawing>
          <wp:inline distT="0" distB="0" distL="0" distR="0" wp14:anchorId="46FA3A09" wp14:editId="08913394">
            <wp:extent cx="5940425" cy="3022633"/>
            <wp:effectExtent l="0" t="0" r="3175" b="63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rPr>
          <w:rFonts w:ascii="Arial" w:hAnsi="Arial" w:cs="Arial"/>
          <w:snapToGrid w:val="0"/>
          <w:sz w:val="18"/>
          <w:szCs w:val="18"/>
        </w:rPr>
      </w:pPr>
      <w:r w:rsidRPr="00490279">
        <w:rPr>
          <w:rFonts w:ascii="Arial" w:hAnsi="Arial" w:cs="Arial"/>
          <w:snapToGrid w:val="0"/>
          <w:sz w:val="18"/>
          <w:szCs w:val="18"/>
        </w:rPr>
        <w:t>* В расчете использован средний курс доллара США за 2011 год 29,3874.</w:t>
      </w:r>
    </w:p>
    <w:p w:rsidR="00583121" w:rsidRPr="00490279" w:rsidRDefault="00583121" w:rsidP="00583121">
      <w:pPr>
        <w:spacing w:after="0" w:line="240" w:lineRule="auto"/>
        <w:rPr>
          <w:rFonts w:ascii="Arial" w:hAnsi="Arial" w:cs="Arial"/>
          <w:snapToGrid w:val="0"/>
          <w:sz w:val="18"/>
          <w:szCs w:val="18"/>
        </w:rPr>
      </w:pPr>
      <w:r w:rsidRPr="00490279">
        <w:rPr>
          <w:rFonts w:ascii="Arial" w:hAnsi="Arial" w:cs="Arial"/>
          <w:snapToGrid w:val="0"/>
          <w:sz w:val="18"/>
          <w:szCs w:val="18"/>
        </w:rPr>
        <w:t>** Включая капитальные вложения геологоразведочных и сервисных предприятий.</w:t>
      </w:r>
    </w:p>
    <w:p w:rsidR="00583121" w:rsidRDefault="00583121" w:rsidP="00583121">
      <w:pPr>
        <w:spacing w:after="0" w:line="240" w:lineRule="auto"/>
        <w:rPr>
          <w:rFonts w:ascii="Arial" w:hAnsi="Arial" w:cs="Arial"/>
          <w:snapToGrid w:val="0"/>
        </w:rPr>
      </w:pPr>
    </w:p>
    <w:p w:rsidR="00936F35" w:rsidRPr="00490279" w:rsidRDefault="00936F35" w:rsidP="00583121">
      <w:pPr>
        <w:spacing w:after="0" w:line="240" w:lineRule="auto"/>
        <w:rPr>
          <w:rFonts w:ascii="Arial" w:hAnsi="Arial" w:cs="Arial"/>
          <w:snapToGrid w:val="0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Отклонение фактического показателя CAPEX за 2012 год от показателя 2011 года связано  со снижением капитальных вложений в проекты поддержания в части статьи техприсоединения, а так же существенным сокращением бурения на проекте освоения Тайлаковского месторождения в связи с получением отрицательных результатов оценочного бурения.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p w:rsidR="00936F35" w:rsidRPr="00490279" w:rsidRDefault="00936F35" w:rsidP="00583121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За 2012 год по добывающим предприятиям группы Славнефть было освоено капитальных вложений на сумму 25,7 млрд руб., что выше плана на 1,1%.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keepNext/>
        <w:widowControl w:val="0"/>
        <w:jc w:val="both"/>
        <w:rPr>
          <w:rFonts w:ascii="Arial" w:hAnsi="Arial" w:cs="Arial"/>
          <w:i/>
          <w:sz w:val="18"/>
          <w:szCs w:val="18"/>
        </w:rPr>
      </w:pPr>
      <w:r w:rsidRPr="00490279">
        <w:rPr>
          <w:rFonts w:ascii="Arial" w:hAnsi="Arial" w:cs="Arial"/>
          <w:i/>
          <w:sz w:val="18"/>
          <w:szCs w:val="18"/>
        </w:rPr>
        <w:lastRenderedPageBreak/>
        <w:t>Рисунок 10. Структура капитальных вложений добывающих предприятий.</w:t>
      </w:r>
    </w:p>
    <w:p w:rsidR="00583121" w:rsidRPr="00490279" w:rsidRDefault="00583121" w:rsidP="00583121">
      <w:pPr>
        <w:keepNext/>
        <w:widowControl w:val="0"/>
        <w:tabs>
          <w:tab w:val="left" w:pos="1590"/>
        </w:tabs>
        <w:spacing w:after="0" w:line="288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 wp14:anchorId="4574731B" wp14:editId="1F70B172">
            <wp:extent cx="4675517" cy="2533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409" cy="2537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3121" w:rsidRPr="00490279" w:rsidRDefault="00583121" w:rsidP="00583121">
      <w:pPr>
        <w:keepNext/>
        <w:widowControl w:val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Отклонение фактического выполнения инвестиционной программы от плана объясняется следующими причинами:</w:t>
      </w:r>
    </w:p>
    <w:p w:rsidR="00583121" w:rsidRPr="00490279" w:rsidRDefault="00583121" w:rsidP="00583121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по статье «Бурение»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план был перевыполнен на 10,6%. Основные причины отклонения от плана - изменение производственной программы эксплуатационного бурения и отсыпка кустовых площадок под программу эксплуатационного бурения на 2013г.</w:t>
      </w:r>
    </w:p>
    <w:p w:rsidR="00583121" w:rsidRPr="00490279" w:rsidRDefault="00583121" w:rsidP="00583121">
      <w:pPr>
        <w:keepNext/>
        <w:widowControl w:val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b/>
          <w:sz w:val="18"/>
          <w:szCs w:val="18"/>
        </w:rPr>
        <w:t xml:space="preserve">по статье «Капитальное строительство» </w:t>
      </w:r>
      <w:r w:rsidRPr="00490279">
        <w:rPr>
          <w:rFonts w:ascii="Arial" w:hAnsi="Arial" w:cs="Arial"/>
          <w:sz w:val="18"/>
          <w:szCs w:val="18"/>
        </w:rPr>
        <w:t>план был выполнен на 79,1%. Основные причины отклонения от плана: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корректировка производственной программы бурения;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корректировка программы строительства объектов энергоснабжения на Тайлаковском ЛУ, в связи с отменой бурения (ВЛ 35кВ, ПС-35/6кВ);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смещение сроков строительства объектов газовой программы Ачимовского и Чистинного м/р, ВКС Тайлаковского м/р (начало строительства в 2012г.-завершение в 2013,2014г.);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увеличение затрат на строительства ГТЭС Тайлаковского ЛУ, ДНС с ПСП Западно-Усть-Балыкского ЛУ;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отклонение по ПИР в связи с изменением программы 2013г. и уточнением стоимости работ; 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поздний выход ПСД и разрешительной документации.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Анализ выполнения программы по капитальному строительству по Мегионскому блоку за 2012 год приведен в таблице 17.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90279">
        <w:rPr>
          <w:rFonts w:ascii="Arial" w:hAnsi="Arial" w:cs="Arial"/>
          <w:i/>
          <w:sz w:val="18"/>
          <w:szCs w:val="18"/>
        </w:rPr>
        <w:t xml:space="preserve">Таблица 17. </w:t>
      </w:r>
    </w:p>
    <w:tbl>
      <w:tblPr>
        <w:tblW w:w="9334" w:type="dxa"/>
        <w:jc w:val="center"/>
        <w:tblInd w:w="-589" w:type="dxa"/>
        <w:tblLook w:val="04A0" w:firstRow="1" w:lastRow="0" w:firstColumn="1" w:lastColumn="0" w:noHBand="0" w:noVBand="1"/>
      </w:tblPr>
      <w:tblGrid>
        <w:gridCol w:w="3828"/>
        <w:gridCol w:w="932"/>
        <w:gridCol w:w="1519"/>
        <w:gridCol w:w="1519"/>
        <w:gridCol w:w="1536"/>
      </w:tblGrid>
      <w:tr w:rsidR="00E2601E" w:rsidRPr="00490279" w:rsidTr="00DC618E">
        <w:trPr>
          <w:trHeight w:val="540"/>
          <w:jc w:val="center"/>
        </w:trPr>
        <w:tc>
          <w:tcPr>
            <w:tcW w:w="3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93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2012г. план</w:t>
            </w:r>
          </w:p>
        </w:tc>
        <w:tc>
          <w:tcPr>
            <w:tcW w:w="15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2012г. факт</w:t>
            </w:r>
          </w:p>
        </w:tc>
        <w:tc>
          <w:tcPr>
            <w:tcW w:w="15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Отклонение факт/план (%)</w:t>
            </w:r>
          </w:p>
        </w:tc>
      </w:tr>
      <w:tr w:rsidR="00E2601E" w:rsidRPr="00490279" w:rsidTr="00DC618E">
        <w:trPr>
          <w:trHeight w:val="385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Строительство и реконструкция трубопроводов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161,7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79,0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48,8</w:t>
            </w:r>
          </w:p>
        </w:tc>
      </w:tr>
      <w:tr w:rsidR="00E2601E" w:rsidRPr="00490279" w:rsidTr="00DC618E">
        <w:trPr>
          <w:trHeight w:val="510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Нефтесборные сети, н/нефтепроводы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99,9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40,6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40,6</w:t>
            </w:r>
          </w:p>
        </w:tc>
      </w:tr>
      <w:tr w:rsidR="00E2601E" w:rsidRPr="00490279" w:rsidTr="00DC618E">
        <w:trPr>
          <w:trHeight w:val="300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ind w:left="341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Водоводы ППД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61,7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38,4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62,1</w:t>
            </w:r>
          </w:p>
        </w:tc>
      </w:tr>
      <w:tr w:rsidR="00E2601E" w:rsidRPr="00490279" w:rsidTr="00DC618E">
        <w:trPr>
          <w:trHeight w:val="300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ВЛ-6кВ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136,5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53,1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38,9</w:t>
            </w:r>
          </w:p>
        </w:tc>
      </w:tr>
      <w:tr w:rsidR="00E2601E" w:rsidRPr="00490279" w:rsidTr="00DC618E">
        <w:trPr>
          <w:trHeight w:val="300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ВЛ-35кВ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75,9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32,7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E2601E" w:rsidRPr="00490279" w:rsidTr="00DC618E">
        <w:trPr>
          <w:trHeight w:val="315"/>
          <w:jc w:val="center"/>
        </w:trPr>
        <w:tc>
          <w:tcPr>
            <w:tcW w:w="382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ПС-35/6кВА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3121" w:rsidRPr="00490279" w:rsidRDefault="00583121" w:rsidP="0058312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по статье «Оборудование НТМ»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рост расходов по сравнению с планом составил на 5,1%, в связи с опережающей поставкой оборудования на 1 квартал 2013г.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по статье</w:t>
      </w:r>
      <w:r w:rsidRPr="0049027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«ГРП на  новых скважинах»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план был выполнен на 47,4% по причине изменения производственной программы бурения. 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по статье «ЗБС»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рост расходов по сравнению с планом на 21,4%, в связи с реализацией дополнительной программы ГТМ.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>по статье «ГРР и прочее»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план был перевыполнен на 18,9%: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по Мегионскому блоку выполнение плана составило 92,7% в связи с уменьшением объема работ на Тайлаковском ЛУ;</w:t>
      </w:r>
    </w:p>
    <w:p w:rsidR="00583121" w:rsidRPr="00490279" w:rsidRDefault="00583121" w:rsidP="00583121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по Красноярскому блоку рост расходов на 78,4% по сравнению с планом  связано с изменением методики учета капитализации расходов на сейсмику 3Д (в соответствии с МСФО).</w:t>
      </w:r>
    </w:p>
    <w:p w:rsidR="00583121" w:rsidRPr="00490279" w:rsidRDefault="00583121" w:rsidP="00583121">
      <w:pPr>
        <w:spacing w:after="0" w:line="240" w:lineRule="auto"/>
        <w:ind w:right="-5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ind w:right="-5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Освоение капитальных вложений за 2012 год дочерними компаниям блока Downstream представлены в таблице 18.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>Таблица 18. Капитальные вложения Downstream (освоение)</w:t>
      </w:r>
    </w:p>
    <w:p w:rsidR="00583121" w:rsidRPr="00490279" w:rsidRDefault="00583121" w:rsidP="00583121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490279">
        <w:rPr>
          <w:rFonts w:ascii="Arial" w:hAnsi="Arial" w:cs="Arial"/>
          <w:i/>
          <w:iCs/>
          <w:sz w:val="18"/>
          <w:szCs w:val="18"/>
        </w:rPr>
        <w:t xml:space="preserve"> млн руб. без НДС</w:t>
      </w:r>
    </w:p>
    <w:tbl>
      <w:tblPr>
        <w:tblW w:w="9106" w:type="dxa"/>
        <w:jc w:val="right"/>
        <w:tblInd w:w="7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0"/>
        <w:gridCol w:w="1180"/>
        <w:gridCol w:w="1134"/>
        <w:gridCol w:w="812"/>
      </w:tblGrid>
      <w:tr w:rsidR="00E2601E" w:rsidRPr="00490279" w:rsidTr="00DC618E">
        <w:trPr>
          <w:trHeight w:val="563"/>
          <w:jc w:val="right"/>
        </w:trPr>
        <w:tc>
          <w:tcPr>
            <w:tcW w:w="59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План </w:t>
            </w:r>
          </w:p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2012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Факт </w:t>
            </w:r>
          </w:p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2012 год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center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Откл.</w:t>
            </w:r>
          </w:p>
        </w:tc>
      </w:tr>
      <w:tr w:rsidR="00E2601E" w:rsidRPr="00490279" w:rsidTr="00DC618E">
        <w:trPr>
          <w:trHeight w:val="415"/>
          <w:jc w:val="right"/>
        </w:trPr>
        <w:tc>
          <w:tcPr>
            <w:tcW w:w="59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jc w:val="both"/>
              <w:rPr>
                <w:rFonts w:ascii="Arial" w:eastAsia="Arial Unicode MS" w:hAnsi="Arial" w:cs="Arial"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Cs/>
                <w:iCs/>
                <w:sz w:val="18"/>
                <w:szCs w:val="18"/>
                <w:lang w:eastAsia="ru-RU"/>
              </w:rPr>
              <w:t>ОАО «Славнефть-ЯНОС»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Cs/>
                <w:sz w:val="18"/>
                <w:szCs w:val="18"/>
              </w:rPr>
              <w:t>7 876,5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Cs/>
                <w:sz w:val="18"/>
                <w:szCs w:val="18"/>
              </w:rPr>
              <w:t>7 413,6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-462,9</w:t>
            </w:r>
          </w:p>
        </w:tc>
      </w:tr>
      <w:tr w:rsidR="00E2601E" w:rsidRPr="00490279" w:rsidTr="00DC618E">
        <w:trPr>
          <w:trHeight w:val="406"/>
          <w:jc w:val="right"/>
        </w:trPr>
        <w:tc>
          <w:tcPr>
            <w:tcW w:w="5980" w:type="dxa"/>
            <w:shd w:val="clear" w:color="auto" w:fill="auto"/>
            <w:vAlign w:val="center"/>
          </w:tcPr>
          <w:p w:rsidR="00583121" w:rsidRPr="00490279" w:rsidRDefault="00986B78" w:rsidP="00583121">
            <w:pPr>
              <w:spacing w:after="0" w:line="240" w:lineRule="auto"/>
              <w:ind w:right="-5"/>
              <w:rPr>
                <w:rFonts w:ascii="Arial" w:eastAsia="Arial Unicode MS" w:hAnsi="Arial" w:cs="Arial"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Cs/>
                <w:iCs/>
                <w:sz w:val="18"/>
                <w:szCs w:val="18"/>
                <w:lang w:eastAsia="ru-RU"/>
              </w:rPr>
              <w:t>ОАО «Славнефть-Я</w:t>
            </w:r>
            <w:r w:rsidR="00583121" w:rsidRPr="00490279">
              <w:rPr>
                <w:rFonts w:ascii="Arial" w:eastAsia="Arial Unicode MS" w:hAnsi="Arial" w:cs="Arial"/>
                <w:bCs/>
                <w:iCs/>
                <w:sz w:val="18"/>
                <w:szCs w:val="18"/>
                <w:lang w:eastAsia="ru-RU"/>
              </w:rPr>
              <w:t>НПЗ им.Д.И.Менделеева»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Cs/>
                <w:sz w:val="18"/>
                <w:szCs w:val="18"/>
              </w:rPr>
              <w:t>84,8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Cs/>
                <w:sz w:val="18"/>
                <w:szCs w:val="18"/>
              </w:rPr>
              <w:t>18,8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-66,0</w:t>
            </w:r>
          </w:p>
        </w:tc>
      </w:tr>
      <w:tr w:rsidR="00E2601E" w:rsidRPr="00490279" w:rsidTr="00DC618E">
        <w:trPr>
          <w:trHeight w:val="398"/>
          <w:jc w:val="right"/>
        </w:trPr>
        <w:tc>
          <w:tcPr>
            <w:tcW w:w="59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ind w:right="-5"/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90279">
              <w:rPr>
                <w:rFonts w:ascii="Arial" w:eastAsia="Arial Unicode MS" w:hAnsi="Arial" w:cs="Arial"/>
                <w:b/>
                <w:bCs/>
                <w:i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7 961,3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7 432,4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-528,9</w:t>
            </w:r>
          </w:p>
        </w:tc>
      </w:tr>
    </w:tbl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bookmarkStart w:id="84" w:name="_Toc259626863"/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490279">
        <w:rPr>
          <w:rFonts w:ascii="Arial" w:hAnsi="Arial" w:cs="Arial"/>
          <w:b/>
          <w:i/>
          <w:sz w:val="18"/>
          <w:szCs w:val="18"/>
        </w:rPr>
        <w:t>ОАО «Славнефть-ЯНОС»</w:t>
      </w:r>
      <w:bookmarkEnd w:id="84"/>
    </w:p>
    <w:p w:rsidR="00583121" w:rsidRPr="00490279" w:rsidRDefault="00583121" w:rsidP="005831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Освоение капитальных вложений за 12 месяцев 2012 года по ОАО «Славнефть-ЯНОС» составило 7 413,6 млн руб.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Недоосвоение капитальных вложений в 2012 году относительно плана ОАО «Славнефть-ЯНОС» составило -462,9 млн руб. и вызвано следующими причинами:</w:t>
      </w:r>
    </w:p>
    <w:p w:rsidR="00583121" w:rsidRPr="00490279" w:rsidRDefault="00583121" w:rsidP="00583121">
      <w:pPr>
        <w:numPr>
          <w:ilvl w:val="0"/>
          <w:numId w:val="45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сдвигом сроков освоения, изменением сроков контрактации оборудования и получения исходных данных для проектирования по объекту «Монтаж установки герметичного налива дизельного топлива и мазута в Ж/Д цистерны» (-593,0 млн руб.);</w:t>
      </w:r>
    </w:p>
    <w:p w:rsidR="00583121" w:rsidRPr="00490279" w:rsidRDefault="00583121" w:rsidP="00583121">
      <w:pPr>
        <w:numPr>
          <w:ilvl w:val="0"/>
          <w:numId w:val="45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отсутствием выбора лицензиара процесса при строительстве установки «Гидрокрекинга остатка (с УПВ)» (-431,1 млн руб.);</w:t>
      </w:r>
    </w:p>
    <w:p w:rsidR="00583121" w:rsidRPr="00490279" w:rsidRDefault="00583121" w:rsidP="00583121">
      <w:pPr>
        <w:numPr>
          <w:ilvl w:val="0"/>
          <w:numId w:val="45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увеличением затрат в связи со сдвигом работ согласно графикам работ и договорам поставки оборудования:</w:t>
      </w:r>
    </w:p>
    <w:p w:rsidR="00583121" w:rsidRPr="00490279" w:rsidRDefault="00583121" w:rsidP="00583121">
      <w:pPr>
        <w:numPr>
          <w:ilvl w:val="1"/>
          <w:numId w:val="45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установке «Гидроочистки дизельного топлива с объектами ОЗХ» (+332,5 млн руб.);</w:t>
      </w:r>
    </w:p>
    <w:p w:rsidR="00583121" w:rsidRPr="00490279" w:rsidRDefault="00583121" w:rsidP="00583121">
      <w:pPr>
        <w:numPr>
          <w:ilvl w:val="1"/>
          <w:numId w:val="45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Программам приведения объектов завода к требованиям новых правил и к требованиям пожарной безопасности (+230,3 млн руб.).</w:t>
      </w:r>
    </w:p>
    <w:p w:rsidR="00583121" w:rsidRPr="00490279" w:rsidRDefault="00583121" w:rsidP="00583121">
      <w:pPr>
        <w:numPr>
          <w:ilvl w:val="0"/>
          <w:numId w:val="45"/>
        </w:num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уточнением сроков освоения по прочим объектам (-1,6 млн руб.).</w:t>
      </w:r>
    </w:p>
    <w:p w:rsidR="00583121" w:rsidRPr="00490279" w:rsidRDefault="00583121" w:rsidP="00583121">
      <w:pPr>
        <w:spacing w:after="0" w:line="240" w:lineRule="auto"/>
        <w:ind w:left="540" w:right="-6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Ввод основных фондов за 12 месяцев 2012 года без НДС составил 3 521,1 млн руб.</w:t>
      </w:r>
    </w:p>
    <w:p w:rsidR="00583121" w:rsidRPr="00490279" w:rsidRDefault="00583121" w:rsidP="00583121">
      <w:pPr>
        <w:spacing w:after="0" w:line="240" w:lineRule="auto"/>
        <w:ind w:right="-6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ind w:right="-6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По состоянию на 01.01.2013 года незавершенное строительство составило 7 602,6 млн руб.</w:t>
      </w:r>
    </w:p>
    <w:p w:rsidR="00583121" w:rsidRPr="00490279" w:rsidRDefault="00583121" w:rsidP="00583121">
      <w:pPr>
        <w:spacing w:after="0" w:line="240" w:lineRule="auto"/>
        <w:ind w:right="-6" w:firstLine="540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Наиболее значимыми объектами капитального строительства, освоенными в отчетном периоде, были: </w:t>
      </w:r>
    </w:p>
    <w:p w:rsidR="00583121" w:rsidRPr="00490279" w:rsidRDefault="00583121" w:rsidP="00583121">
      <w:pPr>
        <w:numPr>
          <w:ilvl w:val="0"/>
          <w:numId w:val="46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установка «Гидроочистки дизельного топлива с объектами ОЗХ» (3 163,5 млн руб.);</w:t>
      </w:r>
    </w:p>
    <w:p w:rsidR="00583121" w:rsidRPr="00490279" w:rsidRDefault="00583121" w:rsidP="00583121">
      <w:pPr>
        <w:numPr>
          <w:ilvl w:val="0"/>
          <w:numId w:val="46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реконструкция установки 1А/1М (101,3 млн руб.);</w:t>
      </w:r>
    </w:p>
    <w:p w:rsidR="00583121" w:rsidRPr="00490279" w:rsidRDefault="00583121" w:rsidP="00583121">
      <w:pPr>
        <w:numPr>
          <w:ilvl w:val="0"/>
          <w:numId w:val="46"/>
        </w:numPr>
        <w:spacing w:after="0" w:line="240" w:lineRule="auto"/>
        <w:ind w:right="-6"/>
        <w:contextualSpacing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установка производства масел III группы (94,4 млн руб.).</w:t>
      </w:r>
    </w:p>
    <w:p w:rsidR="00583121" w:rsidRPr="00490279" w:rsidRDefault="00583121" w:rsidP="00583121">
      <w:pPr>
        <w:spacing w:after="0" w:line="240" w:lineRule="auto"/>
        <w:ind w:left="540" w:right="-6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ind w:right="-6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На рисунке 11 представлена структура капитальных вложений ОАО «Славнефть – ЯНОС» в 2012 году.</w:t>
      </w:r>
    </w:p>
    <w:p w:rsidR="00583121" w:rsidRPr="00490279" w:rsidRDefault="00583121" w:rsidP="00583121">
      <w:pPr>
        <w:spacing w:after="0" w:line="240" w:lineRule="auto"/>
        <w:ind w:right="-6" w:firstLine="540"/>
        <w:jc w:val="center"/>
        <w:rPr>
          <w:rFonts w:ascii="Arial" w:hAnsi="Arial" w:cs="Arial"/>
          <w:noProof/>
          <w:sz w:val="18"/>
          <w:szCs w:val="18"/>
        </w:rPr>
      </w:pPr>
      <w:r w:rsidRPr="00490279">
        <w:rPr>
          <w:noProof/>
          <w:lang w:eastAsia="ru-RU"/>
        </w:rPr>
        <w:drawing>
          <wp:inline distT="0" distB="0" distL="0" distR="0" wp14:anchorId="415425B3" wp14:editId="54372236">
            <wp:extent cx="3552825" cy="24193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83121" w:rsidRPr="00490279" w:rsidRDefault="00583121" w:rsidP="00583121">
      <w:pPr>
        <w:spacing w:after="0" w:line="240" w:lineRule="auto"/>
        <w:ind w:right="-6" w:firstLine="540"/>
        <w:jc w:val="center"/>
        <w:rPr>
          <w:rFonts w:ascii="Arial" w:hAnsi="Arial" w:cs="Arial"/>
          <w:noProof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ind w:right="-6" w:firstLine="540"/>
        <w:jc w:val="center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i/>
          <w:sz w:val="18"/>
          <w:szCs w:val="18"/>
        </w:rPr>
        <w:t>Рисунок 11. Структура капитальных вложений в ОАО «</w:t>
      </w:r>
      <w:r w:rsidRPr="00490279">
        <w:rPr>
          <w:rFonts w:ascii="Arial" w:hAnsi="Arial" w:cs="Arial"/>
          <w:i/>
          <w:iCs/>
          <w:sz w:val="18"/>
          <w:szCs w:val="18"/>
        </w:rPr>
        <w:t>Славнефть – ЯНОС</w:t>
      </w:r>
      <w:r w:rsidRPr="00490279">
        <w:rPr>
          <w:rFonts w:ascii="Arial" w:hAnsi="Arial" w:cs="Arial"/>
          <w:i/>
          <w:sz w:val="18"/>
          <w:szCs w:val="18"/>
        </w:rPr>
        <w:t>», млн руб.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lastRenderedPageBreak/>
        <w:t>В 2012 году в рамках производственного строительства велись следующие работы: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90279">
        <w:rPr>
          <w:rFonts w:ascii="Arial" w:hAnsi="Arial" w:cs="Arial"/>
          <w:sz w:val="18"/>
          <w:szCs w:val="18"/>
          <w:u w:val="single"/>
        </w:rPr>
        <w:t>По объектам нового строительства: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На установке гидроочистки дизельного топлива закончены все общестроительные работы на всех блоках установки. Завершен монтаж технологического оборудования и трубопроводов, печи с домовой трубой, объектов общезаводского хозяйства. Продолжаются работы по межцеховым коммуникациям, изоляции трубопроводов, резервуарному парку, устройству антистатического покрытия полов в компрессорной, подключению средств КИПиА к системе управления. Продолжалось проектирование работ по реконструкции установок 1А-1М, 25/7 и МТБЭ.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90279">
        <w:rPr>
          <w:rFonts w:ascii="Arial" w:hAnsi="Arial" w:cs="Arial"/>
          <w:sz w:val="18"/>
          <w:szCs w:val="18"/>
          <w:u w:val="single"/>
        </w:rPr>
        <w:t>По объектам технического перевооружения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 отчетном периоде введена в эксплуатацию новая установка переработки нефтешлама в цехе №12. Кроме того, основными мероприятиями по техническому перевооружению предприятия, выполненными в 2012 году, были работы по сокращению безвозвратных потерь за счёт  переоборудования 41 резервуара с монтажом понтонов на установках завода, по приведению к требованиям пожарной безопасности и новых правил на ряде технологических объектов, а также перевод системы управления части установок предприятия в центральные операторные и организация узлов коммерческого учёта сырья, реагентов и полуфабрикатов на КМ-2.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490279">
        <w:rPr>
          <w:rFonts w:ascii="Arial" w:hAnsi="Arial" w:cs="Arial"/>
          <w:b/>
          <w:i/>
          <w:sz w:val="18"/>
          <w:szCs w:val="18"/>
        </w:rPr>
        <w:t>ОАО «Славнефть-ЯНПЗ им. Д.И. Менделеева» (Русойл).</w:t>
      </w:r>
    </w:p>
    <w:p w:rsidR="00583121" w:rsidRPr="00490279" w:rsidRDefault="00583121" w:rsidP="00583121">
      <w:pPr>
        <w:spacing w:after="0" w:line="240" w:lineRule="auto"/>
        <w:ind w:right="-6"/>
        <w:jc w:val="both"/>
        <w:rPr>
          <w:rFonts w:ascii="Arial" w:eastAsia="Arial Unicode MS" w:hAnsi="Arial" w:cs="Arial"/>
          <w:bCs/>
          <w:iCs/>
          <w:sz w:val="18"/>
          <w:szCs w:val="18"/>
        </w:rPr>
      </w:pPr>
      <w:r w:rsidRPr="00490279">
        <w:rPr>
          <w:rFonts w:ascii="Arial" w:eastAsia="Arial Unicode MS" w:hAnsi="Arial" w:cs="Arial"/>
          <w:bCs/>
          <w:iCs/>
          <w:sz w:val="18"/>
          <w:szCs w:val="18"/>
        </w:rPr>
        <w:t xml:space="preserve">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 соответствии с утвержденной инвестиционной программой на 2012 год на ОАО «Славнефть-ЯНПЗ им. Д.И. Менделеева» (Русойл) планировалось проведение работ, направленных на повышение экологической безопасности и на выполнение предписаний инспектирующих организаций.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В связи с выбытием актива капитальные вложения отражены в настоящем отчете по апрель 2012 года.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 xml:space="preserve">Освоение капитальных вложений за 2012 год составило 18,8 млн руб. </w:t>
      </w:r>
    </w:p>
    <w:p w:rsidR="00583121" w:rsidRPr="00490279" w:rsidRDefault="00583121" w:rsidP="00583121">
      <w:pPr>
        <w:spacing w:after="0" w:line="240" w:lineRule="auto"/>
        <w:ind w:right="-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ind w:right="-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Таблица 19. Капитальные вложения ОАО «Славнефть-ЯНПЗ им.Д.И. Менделеева» (Русойл) </w:t>
      </w:r>
    </w:p>
    <w:p w:rsidR="00583121" w:rsidRPr="00490279" w:rsidRDefault="00583121" w:rsidP="00583121">
      <w:pPr>
        <w:spacing w:after="0" w:line="240" w:lineRule="auto"/>
        <w:ind w:right="-5"/>
        <w:jc w:val="right"/>
        <w:rPr>
          <w:rFonts w:ascii="Arial" w:eastAsia="Arial Unicode MS" w:hAnsi="Arial" w:cs="Arial"/>
          <w:bCs/>
          <w:iCs/>
          <w:sz w:val="18"/>
          <w:szCs w:val="18"/>
          <w:lang w:eastAsia="ru-RU"/>
        </w:rPr>
      </w:pPr>
      <w:r w:rsidRPr="00490279">
        <w:rPr>
          <w:rFonts w:ascii="Arial" w:eastAsia="Arial Unicode MS" w:hAnsi="Arial" w:cs="Arial"/>
          <w:bCs/>
          <w:iCs/>
          <w:sz w:val="18"/>
          <w:szCs w:val="18"/>
          <w:lang w:eastAsia="ru-RU"/>
        </w:rPr>
        <w:t>млн руб. без НДС</w:t>
      </w:r>
    </w:p>
    <w:tbl>
      <w:tblPr>
        <w:tblW w:w="92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1"/>
        <w:gridCol w:w="1563"/>
        <w:gridCol w:w="1560"/>
        <w:gridCol w:w="1417"/>
      </w:tblGrid>
      <w:tr w:rsidR="00E2601E" w:rsidRPr="00490279" w:rsidTr="00DC618E">
        <w:trPr>
          <w:cantSplit/>
          <w:trHeight w:val="491"/>
          <w:tblHeader/>
        </w:trPr>
        <w:tc>
          <w:tcPr>
            <w:tcW w:w="4731" w:type="dxa"/>
            <w:vMerge w:val="restar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Направления капитальных вложений</w:t>
            </w:r>
          </w:p>
        </w:tc>
        <w:tc>
          <w:tcPr>
            <w:tcW w:w="1563" w:type="dxa"/>
            <w:vMerge w:val="restart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План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2012 год</w:t>
            </w:r>
          </w:p>
        </w:tc>
        <w:tc>
          <w:tcPr>
            <w:tcW w:w="1560" w:type="dxa"/>
            <w:vMerge w:val="restart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Факт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2012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sz w:val="18"/>
                <w:szCs w:val="18"/>
              </w:rPr>
              <w:t>Откл.</w:t>
            </w:r>
          </w:p>
        </w:tc>
      </w:tr>
      <w:tr w:rsidR="00E2601E" w:rsidRPr="00490279" w:rsidTr="00DC618E">
        <w:trPr>
          <w:cantSplit/>
          <w:trHeight w:val="491"/>
          <w:tblHeader/>
        </w:trPr>
        <w:tc>
          <w:tcPr>
            <w:tcW w:w="4731" w:type="dxa"/>
            <w:vMerge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01E" w:rsidRPr="00490279" w:rsidTr="00A9765A">
        <w:trPr>
          <w:trHeight w:val="340"/>
        </w:trPr>
        <w:tc>
          <w:tcPr>
            <w:tcW w:w="4731" w:type="dxa"/>
            <w:shd w:val="clear" w:color="auto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Капитальные вложения</w:t>
            </w:r>
          </w:p>
        </w:tc>
        <w:tc>
          <w:tcPr>
            <w:tcW w:w="1563" w:type="dxa"/>
            <w:shd w:val="clear" w:color="auto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84,8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18,8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0279">
              <w:rPr>
                <w:rFonts w:ascii="Arial" w:hAnsi="Arial" w:cs="Arial"/>
                <w:b/>
                <w:bCs/>
                <w:sz w:val="18"/>
                <w:szCs w:val="18"/>
              </w:rPr>
              <w:t>-66,0</w:t>
            </w:r>
          </w:p>
        </w:tc>
      </w:tr>
      <w:tr w:rsidR="00E2601E" w:rsidRPr="00490279" w:rsidTr="00A9765A">
        <w:trPr>
          <w:trHeight w:val="340"/>
        </w:trPr>
        <w:tc>
          <w:tcPr>
            <w:tcW w:w="4731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Оборудование, не входящее в смету стройки</w:t>
            </w:r>
          </w:p>
        </w:tc>
        <w:tc>
          <w:tcPr>
            <w:tcW w:w="1563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28,6</w:t>
            </w:r>
          </w:p>
        </w:tc>
        <w:tc>
          <w:tcPr>
            <w:tcW w:w="1560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19,1</w:t>
            </w:r>
          </w:p>
        </w:tc>
        <w:tc>
          <w:tcPr>
            <w:tcW w:w="1417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-9,5</w:t>
            </w:r>
          </w:p>
        </w:tc>
      </w:tr>
      <w:tr w:rsidR="00E2601E" w:rsidRPr="00490279" w:rsidTr="00A9765A">
        <w:trPr>
          <w:trHeight w:val="340"/>
        </w:trPr>
        <w:tc>
          <w:tcPr>
            <w:tcW w:w="4731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Выполнение мероприятий, направленных на повышение экологической безопасности</w:t>
            </w:r>
          </w:p>
        </w:tc>
        <w:tc>
          <w:tcPr>
            <w:tcW w:w="1563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49,7</w:t>
            </w:r>
          </w:p>
        </w:tc>
        <w:tc>
          <w:tcPr>
            <w:tcW w:w="1560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-49,7</w:t>
            </w:r>
          </w:p>
        </w:tc>
      </w:tr>
      <w:tr w:rsidR="00583121" w:rsidRPr="00490279" w:rsidTr="00A9765A">
        <w:trPr>
          <w:trHeight w:val="340"/>
        </w:trPr>
        <w:tc>
          <w:tcPr>
            <w:tcW w:w="4731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Прочие работы</w:t>
            </w:r>
          </w:p>
        </w:tc>
        <w:tc>
          <w:tcPr>
            <w:tcW w:w="1563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560" w:type="dxa"/>
            <w:vAlign w:val="center"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-0,3</w:t>
            </w:r>
          </w:p>
        </w:tc>
        <w:tc>
          <w:tcPr>
            <w:tcW w:w="1417" w:type="dxa"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-6,8</w:t>
            </w:r>
          </w:p>
        </w:tc>
      </w:tr>
    </w:tbl>
    <w:p w:rsidR="00583121" w:rsidRPr="00490279" w:rsidRDefault="00583121" w:rsidP="0058312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bookmarkStart w:id="85" w:name="_Toc259626865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9"/>
    </w:p>
    <w:p w:rsidR="00583121" w:rsidRPr="00490279" w:rsidRDefault="00583121" w:rsidP="00583121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86" w:name="_Toc355077736"/>
      <w:r w:rsidRPr="00490279">
        <w:rPr>
          <w:rFonts w:ascii="Arial" w:hAnsi="Arial" w:cs="Arial"/>
          <w:b/>
          <w:i/>
          <w:sz w:val="18"/>
          <w:szCs w:val="18"/>
        </w:rPr>
        <w:t>Финансовый результат</w:t>
      </w:r>
      <w:bookmarkEnd w:id="86"/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По итогам 2012 года консолидированная прибыль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МСФО составила +14,5 млрд руб., что на 12,9 млрд руб. больше запланированной прибыли по плану 2012 года (+1,6 млрд руб.) и на 16,9 млрд руб. больше уровня 2011 года (-2,5 млрд руб.). Основным фактором, повлиявшим на увеличение прибыли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 сравнению с планом, является рост цены реализации нефти.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outlineLvl w:val="1"/>
        <w:rPr>
          <w:rFonts w:ascii="Arial" w:hAnsi="Arial" w:cs="Arial"/>
          <w:b/>
          <w:i/>
          <w:sz w:val="18"/>
          <w:szCs w:val="18"/>
        </w:rPr>
      </w:pPr>
      <w:bookmarkStart w:id="87" w:name="_Toc324929531"/>
      <w:bookmarkStart w:id="88" w:name="_Toc355077737"/>
      <w:bookmarkEnd w:id="85"/>
      <w:r w:rsidRPr="00490279">
        <w:rPr>
          <w:rFonts w:ascii="Arial" w:hAnsi="Arial" w:cs="Arial"/>
          <w:b/>
          <w:i/>
          <w:sz w:val="18"/>
          <w:szCs w:val="18"/>
        </w:rPr>
        <w:t xml:space="preserve">Налоговая политика </w:t>
      </w:r>
      <w:bookmarkEnd w:id="87"/>
      <w:r w:rsidRPr="00490279">
        <w:rPr>
          <w:rFonts w:ascii="Arial" w:hAnsi="Arial" w:cs="Arial"/>
          <w:b/>
          <w:i/>
          <w:sz w:val="18"/>
          <w:szCs w:val="18"/>
        </w:rPr>
        <w:t>группы Славнефть</w:t>
      </w:r>
      <w:bookmarkEnd w:id="88"/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Начисления налогов и отчислений в бюджеты всех уровней и внебюджетные фонды за 2012 год составили 150,6 млрд руб., в т.ч. в федеральный бюджет – 122,0 млрд руб. Фактически перечислено в бюджеты и внебюджетные фонды 148,7 млрд руб., в т.ч. размер платежей в федеральный бюджет составил 120,5 млрд руб. (см. таблицу 20).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i/>
          <w:sz w:val="18"/>
          <w:szCs w:val="18"/>
          <w:lang w:eastAsia="ru-RU"/>
        </w:rPr>
        <w:t>Таблица 20. Начисление налогов по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i/>
          <w:sz w:val="18"/>
          <w:szCs w:val="18"/>
          <w:lang w:eastAsia="ru-RU"/>
        </w:rPr>
        <w:t>группе Славнефть.</w:t>
      </w:r>
    </w:p>
    <w:p w:rsidR="00583121" w:rsidRPr="00490279" w:rsidRDefault="00583121" w:rsidP="00583121">
      <w:pPr>
        <w:spacing w:after="0" w:line="240" w:lineRule="auto"/>
        <w:ind w:left="7788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млрд руб.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320"/>
        <w:gridCol w:w="1925"/>
        <w:gridCol w:w="1984"/>
      </w:tblGrid>
      <w:tr w:rsidR="00E2601E" w:rsidRPr="00490279" w:rsidTr="00DC618E">
        <w:trPr>
          <w:trHeight w:val="300"/>
        </w:trPr>
        <w:tc>
          <w:tcPr>
            <w:tcW w:w="53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</w:p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 2012 года</w:t>
            </w:r>
          </w:p>
        </w:tc>
      </w:tr>
      <w:tr w:rsidR="00E2601E" w:rsidRPr="00490279" w:rsidTr="00DC618E">
        <w:trPr>
          <w:trHeight w:val="315"/>
        </w:trPr>
        <w:tc>
          <w:tcPr>
            <w:tcW w:w="53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Оплата</w:t>
            </w:r>
          </w:p>
        </w:tc>
      </w:tr>
      <w:tr w:rsidR="00E2601E" w:rsidRPr="00490279" w:rsidTr="00A9765A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120,48</w:t>
            </w:r>
          </w:p>
        </w:tc>
      </w:tr>
      <w:tr w:rsidR="00E2601E" w:rsidRPr="00490279" w:rsidTr="00A9765A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Региональный бюджет РФ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9,41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9,18</w:t>
            </w:r>
          </w:p>
        </w:tc>
      </w:tr>
      <w:tr w:rsidR="00E2601E" w:rsidRPr="00490279" w:rsidTr="00A9765A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Местный бюджет РФ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0,70</w:t>
            </w:r>
          </w:p>
        </w:tc>
      </w:tr>
      <w:tr w:rsidR="00E2601E" w:rsidRPr="00490279" w:rsidTr="00A9765A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Внебюджетный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18,52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18,33</w:t>
            </w:r>
          </w:p>
        </w:tc>
      </w:tr>
      <w:tr w:rsidR="00E2601E" w:rsidRPr="00490279" w:rsidTr="00A9765A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121" w:rsidRPr="00490279" w:rsidRDefault="00583121" w:rsidP="0058312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ИТОГО по бюджетам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150,63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3121" w:rsidRPr="00490279" w:rsidRDefault="00583121" w:rsidP="00583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148,70</w:t>
            </w:r>
          </w:p>
        </w:tc>
      </w:tr>
    </w:tbl>
    <w:p w:rsidR="00583121" w:rsidRPr="00490279" w:rsidRDefault="00583121" w:rsidP="00583121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89" w:name="_Toc355077738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Информация об объеме использованных ОАО «НГК «Славнефть» в отчетном году видов энергетических ресурсов</w:t>
      </w:r>
      <w:bookmarkEnd w:id="89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518"/>
        <w:gridCol w:w="2410"/>
        <w:gridCol w:w="2126"/>
      </w:tblGrid>
      <w:tr w:rsidR="00E2601E" w:rsidRPr="00490279" w:rsidTr="00DC618E">
        <w:trPr>
          <w:trHeight w:val="800"/>
          <w:tblCellSpacing w:w="5" w:type="nil"/>
        </w:trPr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Вид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энергетического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ресурса</w:t>
            </w:r>
          </w:p>
        </w:tc>
        <w:tc>
          <w:tcPr>
            <w:tcW w:w="25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Объем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 xml:space="preserve">потребления  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в натуральном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выражении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Единица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измерения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Объем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потребления,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тыс руб.</w:t>
            </w:r>
          </w:p>
        </w:tc>
      </w:tr>
      <w:tr w:rsidR="00E2601E" w:rsidRPr="00490279" w:rsidTr="00DC618E">
        <w:trPr>
          <w:trHeight w:val="400"/>
          <w:tblCellSpacing w:w="5" w:type="nil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Электрическая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энергия</w:t>
            </w:r>
          </w:p>
        </w:tc>
        <w:tc>
          <w:tcPr>
            <w:tcW w:w="25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531 777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кВт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2 297</w:t>
            </w:r>
          </w:p>
        </w:tc>
      </w:tr>
      <w:tr w:rsidR="00E2601E" w:rsidRPr="00490279" w:rsidTr="00DC618E">
        <w:trPr>
          <w:trHeight w:val="400"/>
          <w:tblCellSpacing w:w="5" w:type="nil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Бензин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автомобильный</w:t>
            </w:r>
          </w:p>
        </w:tc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22 805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539</w:t>
            </w:r>
          </w:p>
        </w:tc>
      </w:tr>
      <w:tr w:rsidR="00E2601E" w:rsidRPr="00490279" w:rsidTr="00DC618E">
        <w:trPr>
          <w:trHeight w:val="400"/>
          <w:tblCellSpacing w:w="5" w:type="nil"/>
        </w:trPr>
        <w:tc>
          <w:tcPr>
            <w:tcW w:w="21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Топливо</w:t>
            </w:r>
            <w:r w:rsidRPr="00490279">
              <w:rPr>
                <w:rFonts w:ascii="Arial" w:hAnsi="Arial" w:cs="Arial"/>
                <w:sz w:val="18"/>
                <w:szCs w:val="18"/>
              </w:rPr>
              <w:br/>
              <w:t>дизельное</w:t>
            </w:r>
          </w:p>
        </w:tc>
        <w:tc>
          <w:tcPr>
            <w:tcW w:w="25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29 557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3121" w:rsidRPr="00490279" w:rsidRDefault="00583121" w:rsidP="00583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279">
              <w:rPr>
                <w:rFonts w:ascii="Arial" w:hAnsi="Arial" w:cs="Arial"/>
                <w:sz w:val="18"/>
                <w:szCs w:val="18"/>
              </w:rPr>
              <w:t>689</w:t>
            </w:r>
          </w:p>
        </w:tc>
      </w:tr>
    </w:tbl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83121" w:rsidRPr="00490279" w:rsidRDefault="00583121" w:rsidP="00AA6E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490279">
        <w:rPr>
          <w:rFonts w:ascii="Arial" w:hAnsi="Arial" w:cs="Arial"/>
          <w:sz w:val="18"/>
          <w:szCs w:val="18"/>
        </w:rPr>
        <w:t>Примечание:</w:t>
      </w:r>
    </w:p>
    <w:p w:rsidR="00583121" w:rsidRPr="00490279" w:rsidRDefault="00583121" w:rsidP="00AA6E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90279">
        <w:rPr>
          <w:rFonts w:ascii="Arial" w:hAnsi="Arial" w:cs="Arial"/>
          <w:bCs/>
          <w:sz w:val="18"/>
          <w:szCs w:val="18"/>
        </w:rPr>
        <w:t>Информация об объеме потребления энергоресурсов:  электрическая энергия приведена приблизительно в связи с тем, что ОАО «НГК «Славнефть» арендует офисные помещения у третьего лица и действующий договор аренды не предполагает выделение в сумме арендной платы отдельно суммы компенсации расходов арендодателя по оплате потребленных энергоресурсов.</w:t>
      </w:r>
    </w:p>
    <w:p w:rsidR="00583121" w:rsidRPr="00490279" w:rsidRDefault="00583121" w:rsidP="00AA6E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490279">
        <w:rPr>
          <w:rFonts w:ascii="Arial" w:hAnsi="Arial" w:cs="Arial"/>
          <w:bCs/>
          <w:sz w:val="18"/>
          <w:szCs w:val="18"/>
        </w:rPr>
        <w:t>ОАО «НГК «Славнефть» в 2012 году осуществляло добычу нефти и попутного нефтяного газа, а также реализацию их сторонним покупателям, для собственных нужд потребления эти ресурсы не использовались.</w:t>
      </w:r>
    </w:p>
    <w:p w:rsidR="00583121" w:rsidRPr="00490279" w:rsidRDefault="00583121" w:rsidP="00AA6E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:rsidR="00583121" w:rsidRPr="00490279" w:rsidRDefault="00583121" w:rsidP="00AA6E62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0" w:name="_Toc324929507"/>
      <w:bookmarkStart w:id="91" w:name="_Toc355077739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Описание основных факторов риска, связанных с деятельностью предприятий группы Славнефть</w:t>
      </w:r>
      <w:bookmarkEnd w:id="90"/>
      <w:bookmarkEnd w:id="91"/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Общеэкономические и политические риски: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Нестабильность мирового рынка нефти и нефтепродуктов - основные риски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. Данные риски усиливают следующие факторы:</w:t>
      </w:r>
    </w:p>
    <w:p w:rsidR="00583121" w:rsidRPr="00490279" w:rsidRDefault="00583121" w:rsidP="00AA6E62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социально-политическая напряженность и расширение зоны политических и военных конфликтов в регионах добычи нефти;</w:t>
      </w:r>
    </w:p>
    <w:p w:rsidR="00583121" w:rsidRPr="00490279" w:rsidRDefault="00583121" w:rsidP="00AA6E62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напряженная обстановка в связи с международной террористической активностью;</w:t>
      </w:r>
    </w:p>
    <w:p w:rsidR="00583121" w:rsidRPr="00490279" w:rsidRDefault="00583121" w:rsidP="00AA6E62">
      <w:pPr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кризисные явления в экономиках Европы и США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К ключевым рискам также относятся недостаточное развитие инфраструктуры в регионах потенциального развития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, и потенциальное ухудшение структуры себестоимости продукции, реализуемой предприятиями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, вследствие отсутствия в Российской Федерации эффективного антимонопольного законодательства в сфере услуг по транспортировке нефти, нефтепродуктов и обеспечению электроэнергией.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Являясь крупным заемщиком, Компания подвержена воздействию рисков, связанных с изменением процентных ставок LIBOR/EURIBOR. Для смягчения указанных рисков Компания проводит сбалансированную политику в области управления ликвидностью: проводится постоянный прогноз результатов финансово-хозяйственной деятельности Компании и оценка необходимости привлечения дополнительного внешнего финансирования, проводятся мероприятия, направленные на повышение интереса финансовых организаций к сотрудничеству с Компанией и расширение круга потенциальных финансовых партнеров Компании. Скоординированная работа с ведущими банками, устойчивое положение Компании позволили в отчетном периоде контролировать и минимизировать влияние данного риска.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Для снижения уровня влияния инфляции Компания уделяет особое внимание оборачиваемости активов  и устойчивости по инфляции показателей экономической эффективности инвестиционных проектов. 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Социальные риски: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Предприятия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расположены в различных регионах Российской Федерации. Существенное влияние на результаты производственной деятельности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оказывают не только общегосударственные, но и региональные риски, которые в значительной степени обусловлены социальными факторами, в том числе зависящими от уровня развития регионов, в которых функционируют дочерние общества Компании.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Технические риски: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Производственная деятельность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, охватывающая разведку нефтегазовых месторождений, бурение новых и поддержание в рабочем состоянии старых скважин, транспортировку и переработку нефти, представляет собой сложный технологический процесс, сопряженный с широким спектром технических рисков.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Проводимая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группой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планомерная работа по поддержанию в рабочем состоянии и модернизации основных фондов, подбор высокопрофессиональных специалистов и сотрудничество с ведущими отечественными и зарубежными научными организациями, занимающимися вопросами нефтяной отрасли, направлены на минимизацию влияния технических рисков на производственные процессы дочерних обществ Компании. Регулярно проводится оценка соответствия объектов нормам и требованиям действующего законодательства в области безопасности и оценка фактического состояния технических устройств, оборудования и трубопроводов. Также постоянно осуществляется усовершенствование и поддержка программ и методик обучения и аттестации персонала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требованиям охраны труда, промышленной безопасности, включая действия при возникновении чрезвычайных ситуаций природного и техногенного характера.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Инновационные риски: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связи с истощением и ограниченностью запасов нефти, а также прямой зависимостью экономики государства от надежности и стабильности поставок углеводородного сырья, развитые страны находятся в поиске альтернативных источников энергии. В настоящее время все шире распространяется процесс замещения нефти (в основном, природным газом), используемой в качестве сырья для выработки электрической энергии и тепла. Ряд стран пробуют осваивать производство биотоплива. Поэтому, в долгосрочной перспективе (20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noBreakHyphen/>
        <w:t>30 лет) спрос на нефть и нефтепродукты будет определяться, в основном, только нуждами транспорта, а также потребностями нефтехимической отрасли.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С учетом тенденций мировой экономики предприятия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 своей производственной деятельности ориентируются на страны с развивающейся экономикой (включая страны СНГ и Восточной Европы), а также на внутренний рынок, характеризующиеся относительно стабильным спросом.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Экологические риски: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Осуществляемые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группой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виды деятельности относятся к категории, оказывающей существенное влияние на состояние природы в регионах размещения ее предприятий. Нарушение требований рационального природопользования грозит штрафами, которые могут негативно сказаться на конечных финансовых результатах деятельности. Поэтому предприятия группы Славнефть проводят все виды работ с учетом требований по охране окружающей среды.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Помимо этого, производственная деятельность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 значительной степени подвержена негативному воздействию природных факторов (таких как пожары, наводнения и другие стихийные бедствия). Вместе с тем, характеристика регионов размещения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не дает оснований полагать, что Общества находятся в худших условиях по сравнению с другими нефтяными компаниями России. Кроме того, территориальная рассредоточенность предприятий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группы Славнефть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позволяет существенно уменьшить зависимость результатов деятельности от негативных природных катаклизмов в отдельных регионах.</w:t>
      </w:r>
    </w:p>
    <w:p w:rsidR="00583121" w:rsidRPr="00490279" w:rsidRDefault="00583121" w:rsidP="00AA6E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18"/>
          <w:szCs w:val="18"/>
        </w:rPr>
      </w:pPr>
    </w:p>
    <w:p w:rsidR="00583121" w:rsidRPr="00490279" w:rsidRDefault="00583121" w:rsidP="00AA6E62">
      <w:pPr>
        <w:keepNext/>
        <w:spacing w:after="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2" w:name="_Toc355077740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Отчет Совета директоров ОАО «НГК «Славнефть»</w:t>
      </w:r>
      <w:bookmarkEnd w:id="92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Высшим органом управления ОАО «НГК «Славнефть» является 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общее собрание акционеров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. Порядок подготовки, созыва и проведения общего собрания  акционеров регулируется действующим законодательством Российской Федерации, Уставом Компании, Положением об общем собрании акционеров и Кодексом корпоративного поведения (управления) ОАО «НГК «Славнефть».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течение отчетного периода проведено 2 общих собрания акционеров Компании.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 годовом общем собрании акционеров 29 июня 2012 года утверждены годовой отчет о деятельности Компании в 2011 году и годовая бухгалтерская отчетность, в том числе отчет о прибылях и убытках; принято решение о распределении прибыли (в т.ч. выплаты (объявление) дивидендов); избраны Совет директоров и Ревизионная комиссия; утвержден независимый аудитор по аудиту бухгалтерской отчетности за 2012 год; утверждены изменения и дополнения в Устав ОАО «НГК «Славнефть» и внутренние документы, регулирующие деятельность органов ОАО «НГК «Славнефть».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Собрание одобрило сделки с заинтересованностью, связанные с предоставлением ОАО «НГК «Славнефть» поручительств, а также с аффилированными лицами, которые могли быть совершены в период до годового общего собрания акционеров в 2013 году в процессе осуществления обычной хозяйственной деятельности.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Решением внеочередного общего собрания акционеров, проведенного в форме заочного голосования 18 декабря 2012 года, принято решение о распределении части чистой прибыли Компании в качестве дивидендов по результатам 9 месяцев 2012 финансового года.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Совет директоров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ОАО «НГК «Славнефть» является постоянным коллегиальным выборным органом управления, несущим ответственность за общее стратегическое управление Компанией, установление целей и задач для менеджмента и контроль над их достижением. Совет директоров осуществляет свою деятельность в интересах Компании и ее акционеров в соответствии с действующим законодательством Российской Федерации, Уставом Компании, Положением о Совете директоров и Кодексом корпоративного поведения (управления) ОАО «НГК «Славнефть».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Деятельность Совета директоров строится на основе утвержденных годовых планов работы.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2012 году проведено 14 заседаний Совета директоров ОАО «НГК «Славнефть»</w:t>
      </w:r>
      <w:r w:rsidR="005C3F4D" w:rsidRPr="00490279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которых рассмотрены различные вопросы в рамках компетенции Совета директоров, среди них: определение приоритетных направлений деятельности, планирование и контроль финансово-хозяйственной деятельности, дальнейшее совершенствование корпоративного управления. 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периоде Совет директоров Компании рассмотрел консолидированный бизнес-план ОАО «НГК «Славнефть» на период 2013-2015 гг. и консолидированный бизнес-план ОАО «НГК «Славнефть» на 2013-2022 гг.; подвел итоги выполнения Производственного контракта Компании за 2011 год и утвердил ПК 2012 года; утвердил пороговые, целевые и максимальные уровни КПЭ шестого трехлетнего цикла Программы долгосрочного стимулирования работников ОАО «НГК «Славнефть» (2012-2014 гг.); утвердил график бизнес-планирования на 2012 год; одобрил крупные инвестиционные проекты Upstream и Downstream; одобрил план мероприятий по обеспечению добычи нефти в 2012 году; рассмотрел ход реализации мероприятий по продаже нефтесервисных активов, принял решение по одобрению ряда сделок, в совершении которых имеется заинтересованность..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целях повышения эффективности работы Совета директоров в Компании созданы специализированные 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комитеты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, являющиеся подотчетными ему консультативно-совещательными органами, которые осуществляют свою деятельность в соответствии с утвержденными Положениями. Персональный состав комитетов утверждается решением Совета директоров.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Комитет по аудиту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создан в августе 2007 года.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рамках своих полномочий Комитет по аудиту проводит мониторинг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полноты и достоверности финансовой отчетности, надежности и эффективности системы внутреннего контроля, внешнего и внутреннего аудита, а также оценки эффективности процедур по обеспечению соблюдения Компанией требований законодательства Российской Федерации, Устава и внутренних нормативных документов Компании, для подготовки рекомендаций Совету директоров при принятии решений по данным вопросам.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периоде проведено 4 заседания Комитета по аудиту Совета директоров ОАО «НГК «Славнефть», на которых рассмотрены 25 вопросов. Особое внимание уделялось переходу консолидированной финансовой отчетности ОАО «НГК «Славнефть» от стандартов US GAAP к МСФО; одобрена и дополнена Корпоративная карта рисков на 2012 год; определен план действий по управлению приоритетными рисками на 2012-2013 гг.</w:t>
      </w:r>
    </w:p>
    <w:p w:rsidR="00AF70AE" w:rsidRPr="00AF70AE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 постоянном контроле Комитета вопросы сокращения объемов незавершенного строительства, совершенствов</w:t>
      </w:r>
      <w:r w:rsidR="005C3F4D" w:rsidRPr="00490279">
        <w:rPr>
          <w:rFonts w:ascii="Arial" w:eastAsia="Times New Roman" w:hAnsi="Arial" w:cs="Arial"/>
          <w:sz w:val="18"/>
          <w:szCs w:val="18"/>
          <w:lang w:eastAsia="ru-RU"/>
        </w:rPr>
        <w:t>ания закупочной деятельности.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83121" w:rsidRPr="00490279" w:rsidRDefault="00AF70AE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F70A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583121" w:rsidRPr="00490279">
        <w:rPr>
          <w:rFonts w:ascii="Arial" w:eastAsia="Times New Roman" w:hAnsi="Arial" w:cs="Arial"/>
          <w:sz w:val="18"/>
          <w:szCs w:val="18"/>
          <w:lang w:eastAsia="ru-RU"/>
        </w:rPr>
        <w:t>На регулярной основе на заседаниях Комитета рассматривается отчет Службы главного аудитора Компании.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Комитет по кадрам и вознаграждениям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создан в декабре 2006 года и действует в целях обеспечения принятия Советом директоров обоснованных и взвешенных решений по кадровым вопросам и выработки политики Компании в области вознаграждения.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2012 году проведено 5 заседаний 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Комитета по кадрам и вознаграждениям,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на которых рассмотрены 36 вопросов, в том числе: проекты Производственных контрактов ОАО «НГК «Славнефть», Блоков и дочерних обществ, оценки личного вклада Президента ОАО «НГК «Славнефть» и членов Правления по итогам 2012 г.; актуализация КПЭ «EBITDA» Производственного контракта Блоков Upstream и </w:t>
      </w:r>
      <w:r w:rsidRPr="00490279">
        <w:rPr>
          <w:rFonts w:ascii="Arial" w:eastAsia="Times New Roman" w:hAnsi="Arial" w:cs="Arial"/>
          <w:sz w:val="18"/>
          <w:szCs w:val="18"/>
          <w:lang w:val="en-US" w:eastAsia="ru-RU"/>
        </w:rPr>
        <w:t>Downstream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в связи с переходом со стандартов US GAAP на IFRS; реализована Программа оптимизации численности персонала ОАО «НГК «Славнефть».</w:t>
      </w:r>
    </w:p>
    <w:p w:rsidR="00583121" w:rsidRPr="00490279" w:rsidRDefault="00583121" w:rsidP="00AA6E62">
      <w:pPr>
        <w:spacing w:after="1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 заседаниях Совета директоров Компании председатели комитетов регулярно представляют информацию о рассмотренных комитетами вопросах и принятых решениях.</w:t>
      </w:r>
    </w:p>
    <w:p w:rsidR="00583121" w:rsidRDefault="00583121" w:rsidP="00AA6E62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</w:p>
    <w:p w:rsidR="00A9765A" w:rsidRPr="00490279" w:rsidRDefault="00A9765A" w:rsidP="00AA6E62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</w:p>
    <w:p w:rsidR="00583121" w:rsidRPr="00490279" w:rsidRDefault="00583121" w:rsidP="00AA6E62">
      <w:pPr>
        <w:keepNext/>
        <w:spacing w:after="0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AA6E62">
      <w:pPr>
        <w:keepNext/>
        <w:spacing w:after="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3" w:name="_Toc355077741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Отчет о выплате объявленных (начисленных) дивидендов по акциям</w:t>
      </w:r>
      <w:bookmarkEnd w:id="93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p w:rsidR="00583121" w:rsidRPr="00490279" w:rsidRDefault="00583121" w:rsidP="00AA6E62">
      <w:pPr>
        <w:keepNext/>
        <w:spacing w:after="0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4" w:name="_Toc355077742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ОАО «НГК «Славнефть» в 2012 году</w:t>
      </w:r>
      <w:bookmarkEnd w:id="94"/>
    </w:p>
    <w:p w:rsidR="00583121" w:rsidRPr="00490279" w:rsidRDefault="00583121" w:rsidP="00AA6E62">
      <w:pPr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3121" w:rsidRPr="00490279" w:rsidRDefault="00583121" w:rsidP="00AA6E6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pacing w:val="-2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соответствии с решением годового общего собрания акционеров Общества от 29 июня 2012 года – по результатам 2011 года начислены дивиденды в сумме 9 033 052 тыс рублей из расчета 1,90 рубля на каждую обыкновенную акцию. </w:t>
      </w:r>
      <w:r w:rsidRPr="00490279">
        <w:rPr>
          <w:rFonts w:ascii="Arial" w:eastAsia="Times New Roman" w:hAnsi="Arial" w:cs="Arial"/>
          <w:spacing w:val="-10"/>
          <w:sz w:val="18"/>
          <w:szCs w:val="18"/>
          <w:lang w:eastAsia="ru-RU"/>
        </w:rPr>
        <w:t>В 2012 году выплачено 9 031 246 тыс</w:t>
      </w:r>
      <w:r w:rsidR="00F21AD3" w:rsidRPr="00490279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руб.</w:t>
      </w:r>
    </w:p>
    <w:p w:rsidR="00583121" w:rsidRPr="00490279" w:rsidRDefault="00583121" w:rsidP="00AA6E6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A6E62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pacing w:val="-20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соответствии с решением годового общего собрания акционеров Общества от 18 декабря 2012 года – по результатам 9 месяцев 2012 года начислены дивиденды в сумме 1 521 356 тыс рублей из расчета 0,32 рубля на каждую обыкновенную акцию. </w:t>
      </w:r>
      <w:r w:rsidRPr="00490279">
        <w:rPr>
          <w:rFonts w:ascii="Arial" w:eastAsia="Times New Roman" w:hAnsi="Arial" w:cs="Arial"/>
          <w:spacing w:val="-10"/>
          <w:sz w:val="18"/>
          <w:szCs w:val="18"/>
          <w:lang w:eastAsia="ru-RU"/>
        </w:rPr>
        <w:t>В 2012 году выплаты не производились (срок выплаты начисленных дивидендов – не позднее 16 февраля 2013 года).</w:t>
      </w:r>
    </w:p>
    <w:p w:rsidR="00583121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765A" w:rsidRDefault="00A9765A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9765A" w:rsidRPr="00490279" w:rsidRDefault="00A9765A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A6E62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5" w:name="_Toc355077743"/>
      <w:bookmarkStart w:id="96" w:name="_Toc323210105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Перечень совершенных ОАО «НГК «Славнефть» крупных сделок</w:t>
      </w:r>
      <w:bookmarkEnd w:id="95"/>
    </w:p>
    <w:bookmarkEnd w:id="96"/>
    <w:p w:rsidR="00583121" w:rsidRPr="00490279" w:rsidRDefault="00583121" w:rsidP="00AA6E62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 период с 29.06.2012 по 31.03.2013 ОАО «НГК «Славнефть» заключены следующие крупные сделки: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Заседанием Совета директоров 14 сентября 2012 года (протокол № 2) было принято решение об одобрении сделки по получению кредита от группы международных кредитных организаций, включая ING N.V. London Branch выступающего также в роли уполномоченного ведущего организатора и банка-агента.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A6E62">
      <w:pPr>
        <w:keepNext/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Во исполнение данного решения Компанией заключен следующий договор: *</w:t>
      </w:r>
    </w:p>
    <w:p w:rsidR="00583121" w:rsidRPr="00490279" w:rsidRDefault="00583121" w:rsidP="00AA6E62">
      <w:pPr>
        <w:keepNext/>
        <w:spacing w:after="0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701"/>
        <w:gridCol w:w="1701"/>
        <w:gridCol w:w="1701"/>
        <w:gridCol w:w="1984"/>
      </w:tblGrid>
      <w:tr w:rsidR="00E2601E" w:rsidRPr="00490279" w:rsidTr="00DC618E">
        <w:trPr>
          <w:trHeight w:val="698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Заемщик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Вид и предмет сделки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совершения сделки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Сумма договора,</w:t>
            </w:r>
          </w:p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долл. США</w:t>
            </w:r>
          </w:p>
        </w:tc>
      </w:tr>
      <w:tr w:rsidR="00E2601E" w:rsidRPr="00490279" w:rsidTr="00DC618E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«НГК «Славнефть»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Одновалютный кредит в долларах США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AA6E62">
            <w:pPr>
              <w:keepNext/>
              <w:spacing w:after="0"/>
              <w:ind w:left="33" w:hanging="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04.10.2012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№64537-2012-504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AA6E62">
            <w:pPr>
              <w:keepNext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500 000 000,00</w:t>
            </w:r>
          </w:p>
        </w:tc>
      </w:tr>
    </w:tbl>
    <w:p w:rsidR="00583121" w:rsidRDefault="00583121" w:rsidP="00AA6E62">
      <w:pPr>
        <w:spacing w:after="0"/>
        <w:rPr>
          <w:rFonts w:ascii="Antiqua" w:eastAsia="Times New Roman" w:hAnsi="Antiqua" w:cs="Times New Roman"/>
          <w:sz w:val="20"/>
          <w:szCs w:val="20"/>
          <w:lang w:eastAsia="ru-RU"/>
        </w:rPr>
      </w:pPr>
    </w:p>
    <w:p w:rsidR="00A9765A" w:rsidRPr="00490279" w:rsidRDefault="00A9765A" w:rsidP="00AA6E62">
      <w:pPr>
        <w:spacing w:after="0"/>
        <w:rPr>
          <w:rFonts w:ascii="Antiqua" w:eastAsia="Times New Roman" w:hAnsi="Antiqua" w:cs="Times New Roman"/>
          <w:sz w:val="20"/>
          <w:szCs w:val="20"/>
          <w:lang w:eastAsia="ru-RU"/>
        </w:rPr>
      </w:pP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Заседанием Совета директоров 12 декабря 2012 года (протокол № 7) было принято решение о подписании Дополнительного соглашения в отношении Кредитного договора от 04.10.2012, между ОАО «НГК «Славнефть» в качестве заемщика и группы международных кредитных организаций, включая ING N.V. London Branch выступающего также в роли уполномоченного ведущего организатора и банка-агента</w:t>
      </w:r>
    </w:p>
    <w:p w:rsidR="00583121" w:rsidRPr="00490279" w:rsidRDefault="00583121" w:rsidP="00AA6E62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A6E62">
      <w:pPr>
        <w:keepNext/>
        <w:widowControl w:val="0"/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Во исполнение данного решения Компанией заключен следующий договор: *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701"/>
        <w:gridCol w:w="1701"/>
        <w:gridCol w:w="1701"/>
        <w:gridCol w:w="1984"/>
      </w:tblGrid>
      <w:tr w:rsidR="00E2601E" w:rsidRPr="00490279" w:rsidTr="00DC618E">
        <w:trPr>
          <w:trHeight w:val="698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Заемщик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Вид и предмет сделки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совершения сделки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Номер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Сумма договора,</w:t>
            </w:r>
          </w:p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долл. США</w:t>
            </w:r>
          </w:p>
        </w:tc>
      </w:tr>
      <w:tr w:rsidR="00E2601E" w:rsidRPr="00490279" w:rsidTr="00DC618E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 «НГК «Славнефть»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Одновалютный кредит в долларах США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ind w:left="33" w:hanging="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18.12.2012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№64537-2012-504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121" w:rsidRPr="00490279" w:rsidRDefault="00583121" w:rsidP="00583121">
            <w:pPr>
              <w:keepNext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230 000 000,00</w:t>
            </w:r>
          </w:p>
        </w:tc>
      </w:tr>
    </w:tbl>
    <w:p w:rsidR="00583121" w:rsidRPr="00490279" w:rsidRDefault="00583121" w:rsidP="00583121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Иных сделок, на совершение которых в соответствии с Уставом Компании распространяется порядок одобрения крупных сделок, не заключалось. </w:t>
      </w:r>
    </w:p>
    <w:p w:rsidR="00583121" w:rsidRDefault="00583121" w:rsidP="00A9765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7" w:name="_Toc323210106"/>
    </w:p>
    <w:p w:rsidR="00A9765A" w:rsidRPr="00490279" w:rsidRDefault="00A9765A" w:rsidP="00A9765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8" w:name="_Toc355077744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Перечень совершенных ОАО «НГК «Славнефть» сделок, в совершении которых имеется заинтересованность</w:t>
      </w:r>
      <w:bookmarkEnd w:id="97"/>
      <w:bookmarkEnd w:id="98"/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 период с 29.06.2012 по 31.03.2013 ОАО «НГК «Славнефть» заключены следующие сделки, в совершении которых имеется заинтересованность: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Годовым общим собранием акционеров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29 июня 2012 года (протокол № 44) было принято решение об одобрении сделок с заинтересованностью между Компанией и обществами, в отношении которых Компания осуществляет прямой либо косвенный контроль, которые могут быть совершены в период до годового общего собрания акционеров в 2013 году, в процессе осуществления обычной хозяйственной деятельности: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получению ОАО «НГК «Славнефть» беспроцентных займов в общей сумме до 47,7 миллиарда рублей.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предоставлению ОАО «НГК «Славнефть» беспроцентных займов в общей сумме до 58,8 миллиардов рублей.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По предоставлению ОАО «НГК «Славнефть» поручительст</w:t>
      </w:r>
      <w:r w:rsidR="00DA6A8C" w:rsidRPr="00490279">
        <w:rPr>
          <w:rFonts w:ascii="Arial" w:eastAsia="Times New Roman" w:hAnsi="Arial" w:cs="Arial"/>
          <w:sz w:val="18"/>
          <w:szCs w:val="18"/>
          <w:lang w:eastAsia="ru-RU"/>
        </w:rPr>
        <w:t>в в общей сумме не более 20 млн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долларов США или эквивалента указанной суммы в рублях на дату заключения соответствующей сделки.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соответствии с требованиями действующего законодательства решение об одобрении сделки, в совершении которой имеется заинтересованность, принимается общим собранием акционеров большинством голосов всех не заинтересованных в  сделке акционеров – владельцев голосующих акций.</w:t>
      </w:r>
      <w:r w:rsidR="00DA6A8C"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На дату принятия решения об одобрении указанных сделок, заинтересованными в их совершении лицами являются Общество с ограниченной ответственностью «Инвест-Ойл», Stranberg Investments Limited и Закрытое акционерное общество «Славвест».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 период с 29.06.2012 по 31.03.2013 ОАО «НГК «Славнефть» заключены следующие договоры с обществами, в отношении которых «НГК «Славнефть»  осуществляет прямой либо косвенный контроль:</w:t>
      </w:r>
    </w:p>
    <w:p w:rsidR="00583121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-по предоставлению Компанией беспроцентных займов:</w:t>
      </w:r>
    </w:p>
    <w:p w:rsidR="00A9765A" w:rsidRPr="00490279" w:rsidRDefault="00A9765A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697"/>
        <w:gridCol w:w="1988"/>
        <w:gridCol w:w="1843"/>
        <w:gridCol w:w="1701"/>
      </w:tblGrid>
      <w:tr w:rsidR="00E2601E" w:rsidRPr="00490279" w:rsidTr="00DC618E">
        <w:trPr>
          <w:trHeight w:val="52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Заемщик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договора 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№64537-10/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Сумма договора, руб. </w:t>
            </w:r>
          </w:p>
        </w:tc>
      </w:tr>
      <w:tr w:rsidR="00E2601E" w:rsidRPr="00490279" w:rsidTr="00DC618E">
        <w:trPr>
          <w:trHeight w:val="270"/>
        </w:trPr>
        <w:tc>
          <w:tcPr>
            <w:tcW w:w="3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"Славнефть-Красноярскнефтегаз"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10.10.2012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384 580 000.00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25.12.2012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2013-11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12.02.2013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1 290 000 000.00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"Ринотэк"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"Реализация-Т"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26.10.2012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1 209 000.00</w:t>
            </w:r>
          </w:p>
        </w:tc>
      </w:tr>
      <w:tr w:rsidR="00E2601E" w:rsidRPr="00490279" w:rsidTr="00DC618E">
        <w:trPr>
          <w:trHeight w:val="3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A9765A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2 033 999 000</w:t>
            </w:r>
          </w:p>
        </w:tc>
      </w:tr>
    </w:tbl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Реструктуризация финансовой задолженности обществ группы Славнефть перед Компанией (пролонгация ранее выданных займов) – 44 сделки на общую сумму 13 394 598 034 руб. </w:t>
      </w:r>
    </w:p>
    <w:p w:rsidR="00583121" w:rsidRPr="00490279" w:rsidRDefault="00583121" w:rsidP="00A9765A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-по получению Компанией беспроцентных займов: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860"/>
        <w:gridCol w:w="1825"/>
        <w:gridCol w:w="1843"/>
        <w:gridCol w:w="1701"/>
      </w:tblGrid>
      <w:tr w:rsidR="00E2601E" w:rsidRPr="00490279" w:rsidTr="00DC618E">
        <w:trPr>
          <w:trHeight w:val="52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Заимодавец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договора 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№64537-10/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</w:t>
            </w: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Сумма договора, руб. </w:t>
            </w:r>
          </w:p>
        </w:tc>
      </w:tr>
      <w:tr w:rsidR="00E2601E" w:rsidRPr="00490279" w:rsidTr="00DC618E">
        <w:trPr>
          <w:trHeight w:val="270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"Славвест"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04.07.2012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05.07.2012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484 563 000.00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17.09.2012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468 000 000.00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2012-503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19.09.2012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469 000 000.00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Всего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902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7 470 563 000.00</w:t>
            </w:r>
          </w:p>
        </w:tc>
      </w:tr>
      <w:tr w:rsidR="00E2601E" w:rsidRPr="00490279" w:rsidTr="00DC618E">
        <w:trPr>
          <w:trHeight w:val="25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3121" w:rsidRPr="00490279" w:rsidRDefault="00583121" w:rsidP="00583121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указанном в настоящем пункте периоде ОАО «НГК «Славнефть» не предоставляла третьим лицам поручительств в обеспечение исполнения обязательств дочерних и зависимых обществ, заключенных ими в процессе обычной хозяйственной деятельности.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Pr="00490279" w:rsidRDefault="00AA6E62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99" w:name="_Toc355077745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Органы управления ОАО «НГК «Славнефть»</w:t>
      </w:r>
      <w:bookmarkEnd w:id="99"/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  <w:bookmarkStart w:id="100" w:name="_Toc355077746"/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>Состав Совета директоров ОАО «НГК «Славнефть»</w:t>
      </w:r>
      <w:bookmarkEnd w:id="100"/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2012 году, в соответствии с решением годового общего собрания акционеров от 29.06.2012, в Совет директоров были избраны:</w:t>
      </w:r>
    </w:p>
    <w:p w:rsidR="00583121" w:rsidRPr="00490279" w:rsidRDefault="00583121" w:rsidP="00583121">
      <w:pPr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Председатель Совета директоров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Хан Герман Борисович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1961 года рождения, в 1987 году окончил Московский институт стали и сплавов.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2003 года по март 2013 года занимал должность исполнительного директора ОАО «ТНК-ВР Менеджмент».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- 2003 г.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Члены Совета директоров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Баранов Виталий Витальевич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1966 года рождения, в 1993 году окончил Санкт-Петербургский университет экономики и финансов.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период с 2006 по 2010 год работал в должности вице-президента по организационным вопросам ООО «СИБУР». С марта 2009 года по настоящее время является заместителем председателя Правления, заместителем генерального директора ОАО «Газпром нефть» по организационным вопросам.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- 2011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Барриос Альфред (Barrios Alfred)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1966 года рождения, окончил Стэнфордский университет США (магистр Управления, программа Sloan); Кембриджский университет, Великобритания (доктор экономических наук в области энергетики); Имперский колледж Лондона, Великобритания (бакалавр физики).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2006 по 2011 г. – руководитель стратегической производственной единицы Iberia Fuel Value Chain, Глава представительства в Испании (г.Мадрид); с 2009 по 2011 год – Президент АОР (Испанская ассоциация нефтяной промышленности); в настоящее время - исполнительный вице-президент по переработке и торговле ОАО «ТНК-ВР Менеджмент».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- 2012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keepLines/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Доддс Александр (Dodds Alexander)</w:t>
      </w:r>
    </w:p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1957 года рождения, в 1981 году получил степень бакалавра по гражданскому строительству в Университете Herriot Watt (Эдинбург, Шотландия), в 1984 г. – степень магистра по специальности «Технология нефтегазодобычи» в Университете Herriot Watt (Эдинбург, Шотландия).</w:t>
      </w:r>
    </w:p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C 2000 года по сентябрь 2011 года являлся Президентом и Генеральным директором ExxonMobil Qatar, Inc.; с сентября 2011 по октябрь 2012 г. – исполнительный вице-президент по разведке и добыче ОАО «ТНК-BP Менеджмент».</w:t>
      </w:r>
    </w:p>
    <w:p w:rsidR="00583121" w:rsidRPr="00490279" w:rsidRDefault="00583121" w:rsidP="0058312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- 2011 г.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Дюков Александр Валерьевич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1967 года рождения, в 1991 году окончил Ленинградский ордена Ленина кораблестроительный институт.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декабря 2006 г. по декабрь 2007 г. работал в должности президента ОАО «Газпром нефть», с 2008 г. по настоящее время – председатель Правления, генеральный директор ОАО «Газпром нефть».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- 2007 г.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Половец Станислав (Polovets Stanislav)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1963 года рождения, в 1985 году окончил Университет Калифорнии (бакалавр, экономика), в 1989 – Стэнфордский Университет, США (магистр, Международные отношения, МВА).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октября 2006 г. по апрель 2007 г. работал в должности первого вице-президента Банка Уралсиб. С 2007 г. по настоящее время – главный управляющий директор Консорциума ААР, генеральный директор Благотворительного Фонда «Genesis Philanthropy Group» (Израиль).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- 2009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Слоан</w:t>
      </w:r>
      <w:r w:rsidRPr="00490279">
        <w:rPr>
          <w:rFonts w:ascii="Arial" w:eastAsia="Times New Roman" w:hAnsi="Arial" w:cs="Arial"/>
          <w:b/>
          <w:sz w:val="18"/>
          <w:szCs w:val="18"/>
          <w:lang w:val="en-US" w:eastAsia="ru-RU"/>
        </w:rPr>
        <w:t xml:space="preserve"> 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Ричард</w:t>
      </w:r>
      <w:r w:rsidRPr="00490279">
        <w:rPr>
          <w:rFonts w:ascii="Arial" w:eastAsia="Times New Roman" w:hAnsi="Arial" w:cs="Arial"/>
          <w:b/>
          <w:sz w:val="18"/>
          <w:szCs w:val="18"/>
          <w:lang w:val="en-US" w:eastAsia="ru-RU"/>
        </w:rPr>
        <w:t xml:space="preserve"> </w:t>
      </w: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Скотт</w:t>
      </w:r>
      <w:r w:rsidRPr="00490279">
        <w:rPr>
          <w:rFonts w:ascii="Arial" w:eastAsia="Times New Roman" w:hAnsi="Arial" w:cs="Arial"/>
          <w:b/>
          <w:sz w:val="18"/>
          <w:szCs w:val="18"/>
          <w:lang w:val="en-US" w:eastAsia="ru-RU"/>
        </w:rPr>
        <w:t xml:space="preserve">  (Sloan Richard Scott)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1964 года рождения, в 1986 году окончил Университет Колгейт (Гамильтон, штат Нью-Йорк, США, степень бакалавра по экономике), в 1989 году – Университет Чикаго (степень магистра делового администрирования).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2007-2008 гг. работал главным финансовым директором, Би Пи Северная Америка. C 2009 г. по 01 мая 2012 г. - главный финансовый директор, Филиал компании с ограниченной ответственностью БиПи Эксплорэйшн Оперейтинг Компани Лтд. (Великобритания) в г. Москве. С 01 мая 2012 г. по настоящее время - президент ВР Россия, Филиал компании с ограниченной ответственностью БиПи Эксплорэйшн Оперейтинг Компани Лтд. (Великобритания) в г. Москве.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- 2012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Чернер Анатолий Моисеевич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1954 года рождения, в 1976 году окончил Грозненский нефтяной институт.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апреля 2006 г. по декабрь 2007 г. работал в должности вице-президента ОАО «Газпром нефть» по переработке и сбыту. С 2008 г. по настоящее время - заместитель председателя Правления, заместитель генерального директора ОАО «Газпром нефть» по логистике, переработке и сбыту.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- 2006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Яковлев Вадим Владиславович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1970 года рождения, в 1993 году окончил Московский инженерно-физический институт, в 1995 году - Международный университет Высшей школы финансов.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декабря 2006 г. по сентябрь 2007 г. работал в должности начальника планово-бюджетного департамента (управления) ОАО «Газпром нефть», с сентября по декабрь 2007 г. – в должности вице-президента ОАО «Газпром нефть» по финансам, с января 2008 г. по май 2010 г. являлся заместителем председателя Правления, заместителем генерального директора ОАО «Газпром нефть» по экономике и финансам; с мая 2010 г. по август 2011 г. – первый заместитель генерального директора – финансовый директор. С августа 2011 г. по настоящее время - заместитель председателя правления, первый заместитель генерального директора ОАО «Газпром нефть».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- 2007 г.</w:t>
      </w:r>
    </w:p>
    <w:p w:rsidR="00583121" w:rsidRPr="00490279" w:rsidRDefault="00583121" w:rsidP="00583121">
      <w:pPr>
        <w:spacing w:before="1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lastRenderedPageBreak/>
        <w:t>Янкевич Алексей Викторович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1973 года рождения, в 1997 году окончил Санкт-Петербургский государственный электротехнический университет (ЛЭТИ), в 1998 году - Международную школу менеджмента ЛЭТИ-Лованиум в Санкт-Петербурге.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Должности за последние пять лет: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2007 г. по 2011 г. - начальник Планово-бюджетного департамента, руководитель Дирекции экономики и корпоративного планирования ОАО «Газпром нефть». С августа 2011 г. по март 2012 г. - и.о. заместителя генерального директора по экономике и финансам ОАО «Газпром нефть». С марта 2012 г. по настоящее время является членом Правления, заместителем генерального директора ОАО «Газпром нефть» по экономике и финансам.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Год первого избрания в состав Совета директоров ОАО «НГК «Славнефть» - 2012 г.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>Изменения в составе Совета директоров в 2012 году</w:t>
      </w:r>
    </w:p>
    <w:p w:rsidR="00583121" w:rsidRPr="00490279" w:rsidRDefault="00583121" w:rsidP="00583121">
      <w:pPr>
        <w:keepNext/>
        <w:widowControl w:val="0"/>
        <w:spacing w:before="120"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Члены Совета директоров, избранные в 2012 г.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Барриос Альфред (Barrios Alfred) - член Совета директоров ОАО «НГК «Славнефть» (с 29 июня 2012 г.);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pacing w:val="-4"/>
          <w:sz w:val="18"/>
          <w:szCs w:val="18"/>
          <w:lang w:eastAsia="ru-RU"/>
        </w:rPr>
        <w:t>Слоан Ричард Скотт  (</w:t>
      </w:r>
      <w:r w:rsidRPr="00490279">
        <w:rPr>
          <w:rFonts w:ascii="Arial" w:eastAsia="Times New Roman" w:hAnsi="Arial" w:cs="Arial"/>
          <w:spacing w:val="-4"/>
          <w:sz w:val="18"/>
          <w:szCs w:val="18"/>
          <w:lang w:val="en-US" w:eastAsia="ru-RU"/>
        </w:rPr>
        <w:t>Sloan</w:t>
      </w:r>
      <w:r w:rsidRPr="00490279">
        <w:rPr>
          <w:rFonts w:ascii="Arial" w:eastAsia="Times New Roman" w:hAnsi="Arial" w:cs="Arial"/>
          <w:spacing w:val="-4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pacing w:val="-4"/>
          <w:sz w:val="18"/>
          <w:szCs w:val="18"/>
          <w:lang w:val="en-US" w:eastAsia="ru-RU"/>
        </w:rPr>
        <w:t>Richard</w:t>
      </w:r>
      <w:r w:rsidRPr="00490279">
        <w:rPr>
          <w:rFonts w:ascii="Arial" w:eastAsia="Times New Roman" w:hAnsi="Arial" w:cs="Arial"/>
          <w:spacing w:val="-4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pacing w:val="-4"/>
          <w:sz w:val="18"/>
          <w:szCs w:val="18"/>
          <w:lang w:val="en-US" w:eastAsia="ru-RU"/>
        </w:rPr>
        <w:t>Scott</w:t>
      </w:r>
      <w:r w:rsidRPr="00490279">
        <w:rPr>
          <w:rFonts w:ascii="Arial" w:eastAsia="Times New Roman" w:hAnsi="Arial" w:cs="Arial"/>
          <w:spacing w:val="-4"/>
          <w:sz w:val="18"/>
          <w:szCs w:val="18"/>
          <w:lang w:eastAsia="ru-RU"/>
        </w:rPr>
        <w:t>) - член Совета директоров ОАО «НГК «Славнефть» (с 29 июня 2012 г.);</w:t>
      </w:r>
    </w:p>
    <w:p w:rsidR="00583121" w:rsidRPr="00490279" w:rsidRDefault="00583121" w:rsidP="00583121">
      <w:pPr>
        <w:keepNext/>
        <w:widowControl w:val="0"/>
        <w:spacing w:after="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Янкевич Алексей Викторович – </w:t>
      </w:r>
      <w:r w:rsidRPr="00490279">
        <w:rPr>
          <w:rFonts w:ascii="Arial" w:eastAsia="Times New Roman" w:hAnsi="Arial" w:cs="Arial"/>
          <w:spacing w:val="-4"/>
          <w:sz w:val="18"/>
          <w:szCs w:val="18"/>
          <w:lang w:eastAsia="ru-RU"/>
        </w:rPr>
        <w:t>член Совета директоров ОАО «НГК «Славнефть» (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>с 29 июня 2012 г.).</w:t>
      </w:r>
    </w:p>
    <w:p w:rsidR="00583121" w:rsidRPr="00490279" w:rsidRDefault="00583121" w:rsidP="00583121">
      <w:pPr>
        <w:spacing w:before="120" w:after="6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Члены Совета директоров, чьи полномочия прекращены в 2012 г.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Дашьян Карэн Николаевич - член Совета директоров ОАО «НГК «Славнефть» (до 29 июня 2012 г.);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Фейзулин Амир Зюфярович - член Совета директоров ОАО «НГК «Славнефть» (до 29 июня 2012 г.);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Хак Джереми (Huck Jeremy) - член Совета директоров ОАО «НГК «Славнефть» (до 29 июня 2012 г.).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Председатель и члены Совета директоров акциями ОАО «НГК «Славнефть» в течение отчетного года не владели.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году сделок по приобретению или отчуждению акций ОАО «НГК «Славнефть» членами Совета директоров не совершалось.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году исков к членам Совета директоров предъявлено не было.</w:t>
      </w:r>
    </w:p>
    <w:p w:rsidR="00583121" w:rsidRDefault="00583121" w:rsidP="00AA6E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Default="00AA6E62" w:rsidP="00AA6E6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Pr="00490279" w:rsidRDefault="00AA6E62" w:rsidP="00AA6E62">
      <w:pPr>
        <w:spacing w:after="0" w:line="240" w:lineRule="auto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</w:pPr>
      <w:bookmarkStart w:id="101" w:name="_Toc355077747"/>
      <w:r w:rsidRPr="00490279">
        <w:rPr>
          <w:rFonts w:ascii="Arial" w:eastAsia="Times New Roman" w:hAnsi="Arial" w:cs="Arial"/>
          <w:b/>
          <w:bCs/>
          <w:smallCaps/>
          <w:kern w:val="28"/>
          <w:sz w:val="18"/>
          <w:szCs w:val="18"/>
          <w:lang w:eastAsia="ru-RU"/>
        </w:rPr>
        <w:t>Состав Правления ОАО «НГК «Славнефть»</w:t>
      </w:r>
      <w:bookmarkEnd w:id="101"/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Суханов Юрий Евгеньевич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Президент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Председатель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1963 году.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1985 - Московский ордена Ленина и ордена Трудового Красного Знамени институт инженеров железнодорожного транспорта.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2002 - ИПК руководящих работников и специалистов Минэнерго России.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2011 - ФГАОУ ДПО «Институт повышения квалификации руководящих работников и специалистов топливно-энергетического комплекса».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Профессиональная деятельность:</w:t>
      </w: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01.2000 – 05.2002 - Вице-президент по коммерции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05.2002 – н.в. – Президент ОАО «НГК «Славнефть».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</w:p>
    <w:p w:rsidR="00583121" w:rsidRPr="00490279" w:rsidRDefault="00583121" w:rsidP="00583121">
      <w:pPr>
        <w:jc w:val="both"/>
        <w:rPr>
          <w:rFonts w:ascii="Arial" w:hAnsi="Arial" w:cs="Arial"/>
          <w:b/>
          <w:sz w:val="18"/>
          <w:szCs w:val="18"/>
        </w:rPr>
      </w:pPr>
      <w:r w:rsidRPr="00490279">
        <w:rPr>
          <w:rFonts w:ascii="Arial" w:hAnsi="Arial" w:cs="Arial"/>
          <w:b/>
          <w:sz w:val="18"/>
          <w:szCs w:val="18"/>
        </w:rPr>
        <w:t>Буреев Алексей Валентинович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Руководитель Блока учета и налогового контроля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Член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1967 году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Образование: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1990 г. - Московский физико-технический институт.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1994 г. - Ногинский торгово-коммерческий техникум.</w:t>
      </w:r>
    </w:p>
    <w:p w:rsidR="00583121" w:rsidRPr="00490279" w:rsidRDefault="00583121" w:rsidP="00583121">
      <w:pPr>
        <w:widowControl w:val="0"/>
        <w:tabs>
          <w:tab w:val="left" w:pos="1599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2001 г. - Московский государственный университет экономики, статистики и информатики (МЭСИ).</w:t>
      </w:r>
    </w:p>
    <w:p w:rsidR="00583121" w:rsidRPr="00490279" w:rsidRDefault="00583121" w:rsidP="00583121">
      <w:pPr>
        <w:widowControl w:val="0"/>
        <w:tabs>
          <w:tab w:val="left" w:pos="1599"/>
        </w:tabs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Профессиональный опыт: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01.1999 – 04.2004 - Заместитель главного бухгалтера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04.2004 – 06.2008 Главный бухгалтер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06.2008 – н.в. Руководитель Блока учета и налогового контроля ОАО «НГК «Славнефть».</w:t>
      </w:r>
    </w:p>
    <w:p w:rsidR="00583121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Pr="00490279" w:rsidRDefault="00AA6E62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90279">
        <w:rPr>
          <w:rFonts w:ascii="Arial" w:hAnsi="Arial" w:cs="Arial"/>
          <w:b/>
          <w:sz w:val="18"/>
          <w:szCs w:val="18"/>
        </w:rPr>
        <w:lastRenderedPageBreak/>
        <w:t>Коваленко Андрей Викторович</w:t>
      </w: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Вице-президент  по экономике и финансам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Член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1976 году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1998 - Государственный университет управления.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2002 – Аспирантура. Государственный университет управления. Кандидат экономических наук.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Профессиональный опыт: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05.2002 – 05.2007 - Начальник Департамента экономики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05.2007 – 02.2008 - Вице-президент по управлению инвестициями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02.2008 – н.в. - Вице-президент по экономике и финансам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Медведев Илья Борисович</w:t>
      </w: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Вице-президент по общим вопросам ОАО «НГК «Славнефть».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Член Правления ОАО «НГК «Славнефть».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1970 году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Образование: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1993 - Московский Педагогический Университет.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Профессиональный опыт: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07.2002 – 03.2003 - Начальник Департамента по связям с общественностью ОАО 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03.2003 – 02.2006 - Начальник Департамента общественных связей и рекламы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02.2006 – 05.2007 - Начальник Департамента управленческих и региональных проектов ОАО «НГК 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05.2007 – н.в. - Вице-президент по общим вопросам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Трухачев Андрей Николаевич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Вице-президент по корпоративным отношениям ОАО «НГК «Славнефть».</w:t>
      </w: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Член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1964 году.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1986 - Московский институт нефти и газа им. И.М.Губкина.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1991 – Аспирантура.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Московский институт нефти и газа им. И.М.Губкина. Кандидат технических наук.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2009 - Профессиональная переподготовка. Российский государственный университет нефти и газа им. И.М.Губкина.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Профессиональная деятельность: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10.1997 – 01.2007 - Начальник Департамента планирования и маркетинга, заместитель начальника Департамента маркетинга и оперативного планирования - начальник отдела развития,  заместитель начальника Департамента региональных связей,  заместитель начальника Департамента корпоративного управления – начальник отдела управления собственностью, заместитель начальника Управления корпоративной политики, начальник Департамента корпоративного управления ОАО «Газпром 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01.2007 – н.в. - Вице-президент по корпоративным отношениям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b/>
          <w:sz w:val="18"/>
          <w:szCs w:val="18"/>
          <w:lang w:eastAsia="ru-RU"/>
        </w:rPr>
        <w:t>Савельев Виктор Алексеевич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Вице-президент по добыче нефти и геологии ОАО «НГК «Славнефть».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Член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1963 году.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1985 - Казанский государственный университет им. В.И. Ульянова - Ленина,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г. Казань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1993 – Аспирантура.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Институт геологии и разработки горючих ископаемых, г. Москва. Кандидат геолого-минералогических наук.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2000 - Доцент кафедры разработки и эксплуатации нефтяных и газовых месторождений.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2006 - Доктор геолого-минералогических наук.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2008 - Профессор кафедры геологии нефти и газа.</w:t>
      </w:r>
    </w:p>
    <w:p w:rsidR="00583121" w:rsidRPr="00490279" w:rsidRDefault="00583121" w:rsidP="00583121">
      <w:pPr>
        <w:spacing w:before="20"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Профессиональный опыт: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09.2006 – 02.2008 - Вице-президент по геологии и разработке нефтяных месторождений ОАО Нефтегазовая Компания «РуссНефть».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03.2008 – 02.2009 - Генеральный директор ООО «Газпромнефть НТЦ». 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02.2009 – 04.2012 - Директор по геологии и разработке, Директор Дирекции по геологии и разработке, Директор Дирекции по геологоразведочным работам и развитию ресурсной базы ОАО «Газпром 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04.2012 – н.в. Вице-президент по добыче нефти и геологии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90279">
        <w:rPr>
          <w:rFonts w:ascii="Arial" w:hAnsi="Arial" w:cs="Arial"/>
          <w:b/>
          <w:sz w:val="18"/>
          <w:szCs w:val="18"/>
        </w:rPr>
        <w:t>Крылов Владимир Васильевич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Вице-президент по переработке и реализации нефти и нефтепродуктов ОАО «НГК «Славнефть». Член Правления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Родился в 1955 году.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Образование: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1978 - Ярославский политехнический институт.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Профессиональный опыт: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10.2002 – 05.2007 - Заместитель генерального директора; генеральный директор ОАО «Славнефть-Ярославнефтепродукт».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05.2007 – н.в. - Вице-президент по переработке и реализации нефти и нефтепродуктов ОАО «НГК «Славнефть».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Председатель и члены Правления акциями ОАО «НГК «Славнефть» в течение отчетного года не владели.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году сделок по приобретению или отчуждению акций ОАО «НГК «Славнефть» Председателем и членами Правления не совершалось.</w:t>
      </w:r>
    </w:p>
    <w:p w:rsidR="00583121" w:rsidRPr="00490279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отчетном году исков к Председателю и членам Правления предъявлено не было.</w:t>
      </w:r>
    </w:p>
    <w:p w:rsidR="00583121" w:rsidRDefault="00583121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AA6E62" w:rsidRPr="00490279" w:rsidRDefault="00AA6E62" w:rsidP="00583121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102" w:name="_Toc355077748"/>
      <w:bookmarkStart w:id="103" w:name="_Toc324929510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Критерии определения и размер вознаграждения членов Совета директоров и Правления ОАО «НГК «Славнефть»</w:t>
      </w:r>
      <w:bookmarkEnd w:id="102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bookmarkEnd w:id="103"/>
    <w:p w:rsidR="00583121" w:rsidRPr="00490279" w:rsidRDefault="00583121" w:rsidP="00583121">
      <w:pPr>
        <w:keepNext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Выплата вознаграждений лицу, занимающему должность единоличного исполнительного органа (Президент), членам коллегиального исполнительного органа (Правление), а также членам Совета директоров ОАО «НГК «Славнефть» осуществляется в соответствии с положениями внутренних документов Компании. В 2012 году членам Совета директоров вознаграждения не выплачивались, займы не выдавались. Сумма вознаграждения членам Правления в сов</w:t>
      </w:r>
      <w:r w:rsidR="0081070F">
        <w:rPr>
          <w:rFonts w:ascii="Arial" w:eastAsia="Times New Roman" w:hAnsi="Arial" w:cs="Arial"/>
          <w:sz w:val="18"/>
          <w:szCs w:val="18"/>
          <w:lang w:eastAsia="ru-RU"/>
        </w:rPr>
        <w:t>окупности составила 391 341 тыс</w:t>
      </w:r>
      <w:r w:rsidR="0081070F" w:rsidRPr="00936F3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руб..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Займов членам Правления в отчетном периоде не выдавалось.</w:t>
      </w:r>
    </w:p>
    <w:p w:rsidR="00583121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Pr="00490279" w:rsidRDefault="00AA6E62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64" w:lineRule="auto"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104" w:name="_Toc291152093"/>
      <w:bookmarkStart w:id="105" w:name="_Toc355077749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Сведения о соблюдении ОАО «НГК «Славнефть» Кодекса корпоративного поведения</w:t>
      </w:r>
      <w:bookmarkEnd w:id="104"/>
      <w:bookmarkEnd w:id="105"/>
    </w:p>
    <w:p w:rsidR="00583121" w:rsidRPr="00490279" w:rsidRDefault="00583121" w:rsidP="00583121">
      <w:pPr>
        <w:spacing w:after="0" w:line="240" w:lineRule="auto"/>
        <w:rPr>
          <w:rFonts w:ascii="Antiqua" w:eastAsia="Times New Roman" w:hAnsi="Antiqua" w:cs="Times New Roman"/>
          <w:sz w:val="20"/>
          <w:szCs w:val="20"/>
          <w:lang w:eastAsia="ru-RU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Открытое акционерное общество «Нефтегазовая компания «Славнефть» придерживается принципов корпоративного управления, базирующихся на нормах российского законодательства в области корпоративного управления, российского Кодекса корпоративного поведения, являющегося национальным стандартом передовой практики корпоративного управления, а также применимых международных стандартов корпоративного управления.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Консорциум Российского института директоров и рейтингового агентства «Эксперт РА» ежегодно проводит мониторинг практики корпоративного управления в ОАО «НГК «Славнефть». В 2012 году ОАО «НГК «Славнефть» подтвердило оценку «6+» Национального рейтинга корпоративного управления «Развитая практика корпоративного управления».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Практика корпоративного управления ОАО «НГК «Славнефть» осуществляется по трем основным направлениям:</w:t>
      </w:r>
    </w:p>
    <w:p w:rsidR="00583121" w:rsidRPr="00490279" w:rsidRDefault="00583121" w:rsidP="0058312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информационная прозрачность;</w:t>
      </w:r>
    </w:p>
    <w:p w:rsidR="00583121" w:rsidRPr="00490279" w:rsidRDefault="00583121" w:rsidP="00583121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обеспечение прав собственников;</w:t>
      </w:r>
    </w:p>
    <w:p w:rsidR="00583121" w:rsidRPr="00490279" w:rsidRDefault="00583121" w:rsidP="00583121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деятельность органов управления и контроля.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обеспечение информационной прозрачности в Компании действует ряд внутренних нормативных документов и применяются дополнительные способы раскрытия информации: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Положение об информационной политике. Положение формализует практику раскрытия информации о производственно-хозяйственной деятельности Компании и некоторых её дочерних обществ.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Интернет - адрес: </w:t>
      </w:r>
      <w:hyperlink r:id="rId25" w:history="1">
        <w:r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http://www.slavneft.ru/shareholder</w:t>
        </w:r>
      </w:hyperlink>
      <w:r w:rsidRPr="004902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83121" w:rsidRPr="00490279" w:rsidRDefault="00583121" w:rsidP="00583121">
      <w:pPr>
        <w:tabs>
          <w:tab w:val="left" w:pos="822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разделе интернет-сайта Компании, размещена отчетность, составленная по МСФО (Международные стандарты финансовой отчетности) и РСБУ (Российские стандарты бухгалтерского учета), а так же архив этой информации (в том числе консолидированная финансовая отчетность, подготовленная в соответствии со стандартами международной отчетности US GAAP).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Интернет - адрес: </w:t>
      </w:r>
      <w:hyperlink r:id="rId26" w:history="1">
        <w:r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http://www.slavneft.ru/finstate/finstate_usgaap.php</w:t>
        </w:r>
      </w:hyperlink>
      <w:r w:rsidRPr="004902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«Календарь корпоративных событий» (далее – Календарь) - один из дополнительных инструментов раскрытия информации, заранее информирует акционеров и иных заинтересованных лиц о предстоящих корпоративных событиях Компании и основных её дочерних обществ, кроме того Календарь постоянно пополняется отчетами о состоявшихся событиях и результатах деятельности.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Интернет - адрес: </w:t>
      </w:r>
      <w:hyperlink r:id="rId27" w:history="1">
        <w:r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http://www.slavneft.ru/event/calendar.php</w:t>
        </w:r>
      </w:hyperlink>
      <w:r w:rsidRPr="004902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Компании действует «Кодекс корпоративного поведения (управления) открытого акционерного общества «Нефтегазовая компания «Славнефть» (далее – Кодекс). Кодекс определяет систему принципов и правил корпоративного управления, которыми руководствуется Компания в своей деятельности.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С Кодексом можно ознакомиться на интернет - сайте Компании: </w:t>
      </w:r>
    </w:p>
    <w:p w:rsidR="00583121" w:rsidRPr="00490279" w:rsidRDefault="00C93626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hyperlink r:id="rId28" w:history="1">
        <w:r w:rsidR="00583121"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http://www.slavneft.ru/files/normdoc/slavneft/corp_behav_codex.doc</w:t>
        </w:r>
      </w:hyperlink>
      <w:r w:rsidR="00583121" w:rsidRPr="004902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Основными каналами раскрытия информации ОАО «НГК «Славнефть» являются: 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http://www.e-disclosure.ru/portal/company.aspx?id=560 http://www.slavneft.ru.</w:t>
      </w:r>
    </w:p>
    <w:p w:rsidR="00583121" w:rsidRPr="00490279" w:rsidRDefault="00583121" w:rsidP="005831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области обеспечения прав собственников Компанией внедрены дополнительные элементы корпоративного управления. В частности, действует Положение о деловой этике.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Интернет – адрес: </w:t>
      </w:r>
      <w:hyperlink r:id="rId29" w:history="1">
        <w:r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http://www.slavneft.ru./_upload/doc/bus_ethic_decree_20071218.pdf</w:t>
        </w:r>
      </w:hyperlink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Компания поддерживает тесную связь с акционерами. Особое внимание органы управления Компании уделяют взаимодействию с миноритарными акционерами. Так за отчетный период структурными подразделениями Компании в адрес этой категории акционеров направлялись письма, содержащие пояснения некоторых норм законодательства Российской Федерации, внутренних нормативных документов Компании, предоставлялась запрашиваемая ими документация. Кроме того, в обеспечение названной задачи Компанией осуществляется своевременное предоставление доступа к информации, раскрытие которой является обязательным.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целях противодействия неправомерному использованию инсайдерской информации и манипулированию рынком в Компании действует Положение об инсайдерской информации ОАО «НГК «Славнефть».</w:t>
      </w:r>
    </w:p>
    <w:p w:rsidR="00583121" w:rsidRPr="00490279" w:rsidRDefault="00C93626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hyperlink r:id="rId30" w:history="1">
        <w:r w:rsidR="00583121"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http://www.slavneft.ru./_upload/doc/Regul_on_Insider_Inf_rus_1.pdf</w:t>
        </w:r>
      </w:hyperlink>
      <w:r w:rsidR="00583121" w:rsidRPr="004902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Компания стремится к повышению качества закупаемых товаров и услуг. В этой связи, выбор поставщиков товаров/ работ/ услуг осуществляется на основе открытых/ закрытых конкурсов, тендеров с предварительным квалификационным отбором. 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Информация о конкурсах размещается на сайте Компании по адресу:  </w:t>
      </w:r>
      <w:hyperlink r:id="rId31" w:history="1">
        <w:r w:rsidRPr="00490279">
          <w:rPr>
            <w:rFonts w:ascii="Arial" w:eastAsia="Times New Roman" w:hAnsi="Arial" w:cs="Arial"/>
            <w:sz w:val="18"/>
            <w:szCs w:val="18"/>
            <w:lang w:eastAsia="ru-RU"/>
          </w:rPr>
          <w:t>http://slavneft.ru/supplier/tender.php</w:t>
        </w:r>
      </w:hyperlink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</w:p>
    <w:p w:rsidR="00583121" w:rsidRDefault="00583121" w:rsidP="00AA6E62">
      <w:pPr>
        <w:keepNext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Default="00AA6E62" w:rsidP="00AA6E62">
      <w:pPr>
        <w:keepNext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AA6E62" w:rsidRPr="00490279" w:rsidRDefault="00AA6E62" w:rsidP="00AA6E62">
      <w:pPr>
        <w:keepNext/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  <w:lang w:eastAsia="ru-RU"/>
        </w:rPr>
      </w:pPr>
    </w:p>
    <w:p w:rsidR="00583121" w:rsidRPr="00490279" w:rsidRDefault="00583121" w:rsidP="00583121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</w:pPr>
      <w:bookmarkStart w:id="106" w:name="_Toc355077750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>Перспективы развития</w:t>
      </w:r>
      <w:bookmarkEnd w:id="106"/>
      <w:r w:rsidRPr="00490279">
        <w:rPr>
          <w:rFonts w:ascii="Arial" w:eastAsia="Times New Roman" w:hAnsi="Arial" w:cs="Arial"/>
          <w:b/>
          <w:bCs/>
          <w:smallCaps/>
          <w:kern w:val="28"/>
          <w:sz w:val="20"/>
          <w:szCs w:val="20"/>
          <w:lang w:eastAsia="ru-RU"/>
        </w:rPr>
        <w:t xml:space="preserve"> </w:t>
      </w:r>
    </w:p>
    <w:p w:rsidR="00583121" w:rsidRPr="00490279" w:rsidRDefault="00583121" w:rsidP="00583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18"/>
          <w:szCs w:val="18"/>
        </w:rPr>
      </w:pP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10-летней перспективе </w:t>
      </w:r>
      <w:r w:rsidRPr="00490279">
        <w:rPr>
          <w:rFonts w:ascii="Arial" w:eastAsia="Times New Roman" w:hAnsi="Arial" w:cs="Arial"/>
          <w:bCs/>
          <w:sz w:val="18"/>
          <w:szCs w:val="18"/>
          <w:lang w:eastAsia="ru-RU"/>
        </w:rPr>
        <w:t>Компания</w:t>
      </w: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 планирует разрабатывать активы в Ханты-Мансийском АО. В части добычи нефти основной объем инвестиций будет направлен на развитие Тайлаковского и Западно-Усть-Балыкского м/р, а так же на реализацию программ по поддержанию добычи и повышение технологической эффективности на Brownfield м/р Мегионского блока. С 2013 года включен в разработку новый проект - Южно-Островной (в части Островного месторождения).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>В Красноярском крае планируется опытно-промышленная эксплуатация Куюмбинского месторождения для уточнения объема и качества запасов, а также продолжение разведки на других перспективных месторождениях края. Основные инвестиции в месторождения края намечены с 2017 года с учетом планируемых сроков строительства транспортной инфраструктуры добывающего региона.</w:t>
      </w:r>
    </w:p>
    <w:p w:rsidR="00583121" w:rsidRPr="00490279" w:rsidRDefault="00583121" w:rsidP="0058312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90279">
        <w:rPr>
          <w:rFonts w:ascii="Arial" w:eastAsia="Times New Roman" w:hAnsi="Arial" w:cs="Arial"/>
          <w:sz w:val="18"/>
          <w:szCs w:val="18"/>
          <w:lang w:eastAsia="ru-RU"/>
        </w:rPr>
        <w:t xml:space="preserve">В части Downstream основным проектом является строительство Комплекса глубокой переработки нефти (КГПН) в т.ч. за счет проектного финансирования. Кроме того, планируется завершение строительства установок гидроочистки дизельного топлива, бензинового пула, производства базовых масел и депарафинизации дизельного топлива. </w:t>
      </w:r>
    </w:p>
    <w:p w:rsidR="00583121" w:rsidRPr="00490279" w:rsidRDefault="00583121" w:rsidP="00583121">
      <w:pPr>
        <w:rPr>
          <w:rFonts w:ascii="Arial" w:eastAsia="Times New Roman" w:hAnsi="Arial" w:cs="Arial"/>
          <w:sz w:val="18"/>
          <w:szCs w:val="18"/>
          <w:lang w:eastAsia="ru-RU"/>
        </w:rPr>
      </w:pPr>
    </w:p>
    <w:p w:rsidR="00EF37E4" w:rsidRPr="00490279" w:rsidRDefault="00EF37E4"/>
    <w:sectPr w:rsidR="00EF37E4" w:rsidRPr="00490279" w:rsidSect="009E433C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626" w:rsidRDefault="00C93626" w:rsidP="00583121">
      <w:pPr>
        <w:spacing w:after="0" w:line="240" w:lineRule="auto"/>
      </w:pPr>
      <w:r>
        <w:separator/>
      </w:r>
    </w:p>
  </w:endnote>
  <w:endnote w:type="continuationSeparator" w:id="0">
    <w:p w:rsidR="00C93626" w:rsidRDefault="00C93626" w:rsidP="0058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auto"/>
    <w:pitch w:val="variable"/>
    <w:sig w:usb0="00000001" w:usb1="00000000" w:usb2="00000000" w:usb3="00000000" w:csb0="00000005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enia-Bold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626" w:rsidRDefault="00C93626" w:rsidP="00583121">
      <w:pPr>
        <w:spacing w:after="0" w:line="240" w:lineRule="auto"/>
      </w:pPr>
      <w:r>
        <w:separator/>
      </w:r>
    </w:p>
  </w:footnote>
  <w:footnote w:type="continuationSeparator" w:id="0">
    <w:p w:rsidR="00C93626" w:rsidRDefault="00C93626" w:rsidP="00583121">
      <w:pPr>
        <w:spacing w:after="0" w:line="240" w:lineRule="auto"/>
      </w:pPr>
      <w:r>
        <w:continuationSeparator/>
      </w:r>
    </w:p>
  </w:footnote>
  <w:footnote w:id="1">
    <w:p w:rsidR="00A9765A" w:rsidRPr="00DF5AAA" w:rsidRDefault="00A9765A" w:rsidP="00583121">
      <w:pPr>
        <w:pStyle w:val="ad"/>
        <w:rPr>
          <w:rFonts w:ascii="Arial" w:hAnsi="Arial" w:cs="Arial"/>
          <w:sz w:val="18"/>
        </w:rPr>
      </w:pPr>
      <w:r w:rsidRPr="00DF5AAA">
        <w:rPr>
          <w:rStyle w:val="ac"/>
          <w:rFonts w:ascii="Arial" w:hAnsi="Arial" w:cs="Arial"/>
          <w:sz w:val="18"/>
        </w:rPr>
        <w:footnoteRef/>
      </w:r>
      <w:r w:rsidRPr="00DF5AAA">
        <w:rPr>
          <w:rFonts w:ascii="Arial" w:hAnsi="Arial" w:cs="Arial"/>
          <w:sz w:val="18"/>
        </w:rPr>
        <w:t xml:space="preserve"> Объем переработки сырого углеводородного сырья для загрузки первичных мощностей.</w:t>
      </w:r>
    </w:p>
  </w:footnote>
  <w:footnote w:id="2">
    <w:p w:rsidR="00A9765A" w:rsidRPr="00323DE9" w:rsidRDefault="00A9765A" w:rsidP="00583121">
      <w:pPr>
        <w:pStyle w:val="ad"/>
        <w:rPr>
          <w:rFonts w:ascii="Arial" w:hAnsi="Arial" w:cs="Arial"/>
          <w:sz w:val="18"/>
        </w:rPr>
      </w:pPr>
      <w:r w:rsidRPr="00DF5AAA">
        <w:rPr>
          <w:rStyle w:val="ac"/>
          <w:rFonts w:ascii="Arial" w:hAnsi="Arial" w:cs="Arial"/>
          <w:sz w:val="18"/>
        </w:rPr>
        <w:footnoteRef/>
      </w:r>
      <w:r w:rsidRPr="00DF5AAA">
        <w:rPr>
          <w:rFonts w:ascii="Arial" w:hAnsi="Arial" w:cs="Arial"/>
          <w:sz w:val="18"/>
        </w:rPr>
        <w:t xml:space="preserve"> Выход светлых рассчитан по обессоленной нефти.</w:t>
      </w:r>
    </w:p>
  </w:footnote>
  <w:footnote w:id="3">
    <w:p w:rsidR="00A9765A" w:rsidRDefault="00A9765A" w:rsidP="00583121">
      <w:pPr>
        <w:pStyle w:val="ad"/>
      </w:pPr>
      <w:r w:rsidRPr="00DF5AAA">
        <w:rPr>
          <w:rStyle w:val="ac"/>
          <w:rFonts w:ascii="Arial" w:hAnsi="Arial" w:cs="Arial"/>
          <w:sz w:val="18"/>
        </w:rPr>
        <w:footnoteRef/>
      </w:r>
      <w:r w:rsidRPr="00DF5AAA">
        <w:rPr>
          <w:sz w:val="18"/>
        </w:rPr>
        <w:t xml:space="preserve"> </w:t>
      </w:r>
      <w:r w:rsidRPr="00DF5AAA">
        <w:rPr>
          <w:rFonts w:ascii="Arial" w:hAnsi="Arial" w:cs="Arial"/>
          <w:sz w:val="18"/>
        </w:rPr>
        <w:t>По обессоленной нефти (загрузка первичных мощностей). ОАО «Мозырский НПЗ» с учетом прочего углеводородного сырья.</w:t>
      </w:r>
    </w:p>
  </w:footnote>
  <w:footnote w:id="4">
    <w:p w:rsidR="00A9765A" w:rsidRDefault="00A9765A" w:rsidP="00583121">
      <w:pPr>
        <w:pStyle w:val="ad"/>
      </w:pPr>
      <w:r>
        <w:rPr>
          <w:rStyle w:val="ac"/>
        </w:rPr>
        <w:footnoteRef/>
      </w:r>
      <w:r>
        <w:t xml:space="preserve"> - </w:t>
      </w:r>
      <w:r w:rsidRPr="008C3317">
        <w:rPr>
          <w:rFonts w:ascii="Arial" w:hAnsi="Arial" w:cs="Arial"/>
          <w:sz w:val="18"/>
          <w:szCs w:val="18"/>
        </w:rPr>
        <w:t>В соответствии с российской бухгалтерской отчетностью (РСБУ</w:t>
      </w:r>
      <w:r w:rsidRPr="00D02516">
        <w:rPr>
          <w:rFonts w:ascii="Arial" w:hAnsi="Arial" w:cs="Arial"/>
          <w:color w:val="FF0000"/>
          <w:sz w:val="18"/>
          <w:szCs w:val="18"/>
        </w:rPr>
        <w:t>)</w:t>
      </w:r>
    </w:p>
  </w:footnote>
  <w:footnote w:id="5">
    <w:p w:rsidR="00A9765A" w:rsidRPr="0045411A" w:rsidRDefault="00A9765A" w:rsidP="00583121">
      <w:pPr>
        <w:pStyle w:val="ad"/>
      </w:pPr>
      <w:r>
        <w:rPr>
          <w:rStyle w:val="ac"/>
        </w:rPr>
        <w:footnoteRef/>
      </w:r>
      <w:r>
        <w:t xml:space="preserve"> - </w:t>
      </w:r>
      <w:r w:rsidRPr="008C3317">
        <w:rPr>
          <w:rFonts w:ascii="Arial" w:hAnsi="Arial" w:cs="Arial"/>
          <w:sz w:val="18"/>
        </w:rPr>
        <w:t>Удельные затраты по переработке углеводородного сырья (собственного и давальческого) без учета стоимости углеводородного сырья и полуфабрикатов. Данные приведены в российских рублях, расчет осуществлен по среднегодовому курсу соответствующего периода, установленному Национальным Банком республики Беларусь.</w:t>
      </w:r>
    </w:p>
    <w:p w:rsidR="00A9765A" w:rsidRDefault="00A9765A" w:rsidP="00583121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395680"/>
      <w:docPartObj>
        <w:docPartGallery w:val="Page Numbers (Top of Page)"/>
        <w:docPartUnique/>
      </w:docPartObj>
    </w:sdtPr>
    <w:sdtEndPr/>
    <w:sdtContent>
      <w:p w:rsidR="00A9765A" w:rsidRDefault="00A9765A">
        <w:pPr>
          <w:pStyle w:val="a3"/>
          <w:jc w:val="center"/>
        </w:pPr>
        <w:r w:rsidRPr="00165CF6">
          <w:fldChar w:fldCharType="begin"/>
        </w:r>
        <w:r w:rsidRPr="00165CF6">
          <w:instrText>PAGE   \* MERGEFORMAT</w:instrText>
        </w:r>
        <w:r w:rsidRPr="00165CF6">
          <w:fldChar w:fldCharType="separate"/>
        </w:r>
        <w:r w:rsidR="000C7AB0">
          <w:rPr>
            <w:noProof/>
          </w:rPr>
          <w:t>1</w:t>
        </w:r>
        <w:r w:rsidRPr="00165CF6">
          <w:fldChar w:fldCharType="end"/>
        </w:r>
      </w:p>
    </w:sdtContent>
  </w:sdt>
  <w:p w:rsidR="00A9765A" w:rsidRDefault="00A976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lowerLetter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3D5AF8"/>
    <w:multiLevelType w:val="hybridMultilevel"/>
    <w:tmpl w:val="55AADC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507FA9"/>
    <w:multiLevelType w:val="hybridMultilevel"/>
    <w:tmpl w:val="3E9E9A14"/>
    <w:lvl w:ilvl="0" w:tplc="76340378">
      <w:start w:val="2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D6695"/>
    <w:multiLevelType w:val="hybridMultilevel"/>
    <w:tmpl w:val="705AD0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52210B"/>
    <w:multiLevelType w:val="hybridMultilevel"/>
    <w:tmpl w:val="A8CE9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DCE3ADA"/>
    <w:multiLevelType w:val="hybridMultilevel"/>
    <w:tmpl w:val="D708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6583B"/>
    <w:multiLevelType w:val="hybridMultilevel"/>
    <w:tmpl w:val="CDD042A0"/>
    <w:lvl w:ilvl="0" w:tplc="42DA1D98">
      <w:start w:val="5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092946"/>
    <w:multiLevelType w:val="hybridMultilevel"/>
    <w:tmpl w:val="6B6A261C"/>
    <w:lvl w:ilvl="0" w:tplc="444461AE">
      <w:start w:val="7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E37EC"/>
    <w:multiLevelType w:val="hybridMultilevel"/>
    <w:tmpl w:val="A3B27232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166900B0"/>
    <w:multiLevelType w:val="hybridMultilevel"/>
    <w:tmpl w:val="2B22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B7103"/>
    <w:multiLevelType w:val="hybridMultilevel"/>
    <w:tmpl w:val="DAA6BB7C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D196FEA"/>
    <w:multiLevelType w:val="hybridMultilevel"/>
    <w:tmpl w:val="8DE88AA4"/>
    <w:lvl w:ilvl="0" w:tplc="0419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D67E61"/>
    <w:multiLevelType w:val="hybridMultilevel"/>
    <w:tmpl w:val="D458E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B15D9"/>
    <w:multiLevelType w:val="hybridMultilevel"/>
    <w:tmpl w:val="DAC2D3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8E4728"/>
    <w:multiLevelType w:val="hybridMultilevel"/>
    <w:tmpl w:val="848679E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24992C2D"/>
    <w:multiLevelType w:val="hybridMultilevel"/>
    <w:tmpl w:val="FE745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D5F25"/>
    <w:multiLevelType w:val="hybridMultilevel"/>
    <w:tmpl w:val="B396FE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5AA1B6B"/>
    <w:multiLevelType w:val="hybridMultilevel"/>
    <w:tmpl w:val="C5F4A454"/>
    <w:lvl w:ilvl="0" w:tplc="A24E1CBA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B1321"/>
    <w:multiLevelType w:val="hybridMultilevel"/>
    <w:tmpl w:val="3146AE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2AC62E9C"/>
    <w:multiLevelType w:val="hybridMultilevel"/>
    <w:tmpl w:val="A2A40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5404F"/>
    <w:multiLevelType w:val="hybridMultilevel"/>
    <w:tmpl w:val="F6D02406"/>
    <w:lvl w:ilvl="0" w:tplc="C10CA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6424DB"/>
    <w:multiLevelType w:val="hybridMultilevel"/>
    <w:tmpl w:val="2B304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97B5D99"/>
    <w:multiLevelType w:val="hybridMultilevel"/>
    <w:tmpl w:val="E5883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7D695E"/>
    <w:multiLevelType w:val="hybridMultilevel"/>
    <w:tmpl w:val="26A2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04A41"/>
    <w:multiLevelType w:val="hybridMultilevel"/>
    <w:tmpl w:val="C052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E04A9"/>
    <w:multiLevelType w:val="hybridMultilevel"/>
    <w:tmpl w:val="DEAE798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41C432EA"/>
    <w:multiLevelType w:val="hybridMultilevel"/>
    <w:tmpl w:val="F4027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646831"/>
    <w:multiLevelType w:val="hybridMultilevel"/>
    <w:tmpl w:val="D8C8289A"/>
    <w:lvl w:ilvl="0" w:tplc="273C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D83A94"/>
    <w:multiLevelType w:val="hybridMultilevel"/>
    <w:tmpl w:val="DF9036D6"/>
    <w:lvl w:ilvl="0" w:tplc="62A84C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6C53557"/>
    <w:multiLevelType w:val="hybridMultilevel"/>
    <w:tmpl w:val="0D40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0D150D"/>
    <w:multiLevelType w:val="multilevel"/>
    <w:tmpl w:val="AAD4F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31">
    <w:nsid w:val="4C994167"/>
    <w:multiLevelType w:val="hybridMultilevel"/>
    <w:tmpl w:val="B3C8B378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DB3AE8D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57E47C28"/>
    <w:multiLevelType w:val="hybridMultilevel"/>
    <w:tmpl w:val="C2F6DB42"/>
    <w:lvl w:ilvl="0" w:tplc="51CA344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E119B"/>
    <w:multiLevelType w:val="hybridMultilevel"/>
    <w:tmpl w:val="8BD27184"/>
    <w:lvl w:ilvl="0" w:tplc="2FBCB742">
      <w:start w:val="4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2E696A"/>
    <w:multiLevelType w:val="hybridMultilevel"/>
    <w:tmpl w:val="AA1C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FF0212"/>
    <w:multiLevelType w:val="hybridMultilevel"/>
    <w:tmpl w:val="41C6A936"/>
    <w:lvl w:ilvl="0" w:tplc="273C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B3016A"/>
    <w:multiLevelType w:val="hybridMultilevel"/>
    <w:tmpl w:val="8B62B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41489"/>
    <w:multiLevelType w:val="hybridMultilevel"/>
    <w:tmpl w:val="7980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1700E1"/>
    <w:multiLevelType w:val="hybridMultilevel"/>
    <w:tmpl w:val="0EE83C74"/>
    <w:lvl w:ilvl="0" w:tplc="DBD40F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2573CB"/>
    <w:multiLevelType w:val="hybridMultilevel"/>
    <w:tmpl w:val="15C2053E"/>
    <w:lvl w:ilvl="0" w:tplc="273C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740B00"/>
    <w:multiLevelType w:val="hybridMultilevel"/>
    <w:tmpl w:val="6228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942E2"/>
    <w:multiLevelType w:val="hybridMultilevel"/>
    <w:tmpl w:val="32E2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D5D02"/>
    <w:multiLevelType w:val="multilevel"/>
    <w:tmpl w:val="A28C5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3">
    <w:nsid w:val="765D0EAF"/>
    <w:multiLevelType w:val="hybridMultilevel"/>
    <w:tmpl w:val="55D4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C35C7"/>
    <w:multiLevelType w:val="hybridMultilevel"/>
    <w:tmpl w:val="E3421DF4"/>
    <w:lvl w:ilvl="0" w:tplc="5A8AF406">
      <w:start w:val="6"/>
      <w:numFmt w:val="decimal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5F4AC0"/>
    <w:multiLevelType w:val="hybridMultilevel"/>
    <w:tmpl w:val="D8E2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D2201"/>
    <w:multiLevelType w:val="multilevel"/>
    <w:tmpl w:val="6A2A3E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num w:numId="1">
    <w:abstractNumId w:val="41"/>
  </w:num>
  <w:num w:numId="2">
    <w:abstractNumId w:val="0"/>
  </w:num>
  <w:num w:numId="3">
    <w:abstractNumId w:val="13"/>
  </w:num>
  <w:num w:numId="4">
    <w:abstractNumId w:val="8"/>
  </w:num>
  <w:num w:numId="5">
    <w:abstractNumId w:val="39"/>
  </w:num>
  <w:num w:numId="6">
    <w:abstractNumId w:val="27"/>
  </w:num>
  <w:num w:numId="7">
    <w:abstractNumId w:val="35"/>
  </w:num>
  <w:num w:numId="8">
    <w:abstractNumId w:val="38"/>
  </w:num>
  <w:num w:numId="9">
    <w:abstractNumId w:val="14"/>
  </w:num>
  <w:num w:numId="10">
    <w:abstractNumId w:val="19"/>
  </w:num>
  <w:num w:numId="11">
    <w:abstractNumId w:val="37"/>
  </w:num>
  <w:num w:numId="12">
    <w:abstractNumId w:val="23"/>
  </w:num>
  <w:num w:numId="13">
    <w:abstractNumId w:val="26"/>
  </w:num>
  <w:num w:numId="14">
    <w:abstractNumId w:val="24"/>
  </w:num>
  <w:num w:numId="15">
    <w:abstractNumId w:val="45"/>
  </w:num>
  <w:num w:numId="16">
    <w:abstractNumId w:val="4"/>
  </w:num>
  <w:num w:numId="17">
    <w:abstractNumId w:val="34"/>
  </w:num>
  <w:num w:numId="18">
    <w:abstractNumId w:val="21"/>
  </w:num>
  <w:num w:numId="19">
    <w:abstractNumId w:val="12"/>
  </w:num>
  <w:num w:numId="20">
    <w:abstractNumId w:val="22"/>
  </w:num>
  <w:num w:numId="21">
    <w:abstractNumId w:val="9"/>
  </w:num>
  <w:num w:numId="22">
    <w:abstractNumId w:val="15"/>
  </w:num>
  <w:num w:numId="23">
    <w:abstractNumId w:val="43"/>
  </w:num>
  <w:num w:numId="24">
    <w:abstractNumId w:val="25"/>
  </w:num>
  <w:num w:numId="25">
    <w:abstractNumId w:val="1"/>
  </w:num>
  <w:num w:numId="26">
    <w:abstractNumId w:val="28"/>
  </w:num>
  <w:num w:numId="27">
    <w:abstractNumId w:val="11"/>
  </w:num>
  <w:num w:numId="28">
    <w:abstractNumId w:val="10"/>
  </w:num>
  <w:num w:numId="29">
    <w:abstractNumId w:val="31"/>
  </w:num>
  <w:num w:numId="30">
    <w:abstractNumId w:val="32"/>
  </w:num>
  <w:num w:numId="31">
    <w:abstractNumId w:val="33"/>
  </w:num>
  <w:num w:numId="32">
    <w:abstractNumId w:val="44"/>
  </w:num>
  <w:num w:numId="33">
    <w:abstractNumId w:val="2"/>
  </w:num>
  <w:num w:numId="34">
    <w:abstractNumId w:val="20"/>
  </w:num>
  <w:num w:numId="35">
    <w:abstractNumId w:val="17"/>
  </w:num>
  <w:num w:numId="36">
    <w:abstractNumId w:val="6"/>
  </w:num>
  <w:num w:numId="37">
    <w:abstractNumId w:val="7"/>
  </w:num>
  <w:num w:numId="38">
    <w:abstractNumId w:val="36"/>
  </w:num>
  <w:num w:numId="39">
    <w:abstractNumId w:val="42"/>
  </w:num>
  <w:num w:numId="40">
    <w:abstractNumId w:val="30"/>
  </w:num>
  <w:num w:numId="41">
    <w:abstractNumId w:val="46"/>
  </w:num>
  <w:num w:numId="42">
    <w:abstractNumId w:val="18"/>
  </w:num>
  <w:num w:numId="43">
    <w:abstractNumId w:val="29"/>
  </w:num>
  <w:num w:numId="44">
    <w:abstractNumId w:val="5"/>
  </w:num>
  <w:num w:numId="45">
    <w:abstractNumId w:val="40"/>
  </w:num>
  <w:num w:numId="46">
    <w:abstractNumId w:val="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21"/>
    <w:rsid w:val="000870D5"/>
    <w:rsid w:val="000C7AB0"/>
    <w:rsid w:val="00165CF6"/>
    <w:rsid w:val="00196046"/>
    <w:rsid w:val="002B25E4"/>
    <w:rsid w:val="002F410C"/>
    <w:rsid w:val="003512BF"/>
    <w:rsid w:val="004117F3"/>
    <w:rsid w:val="00417524"/>
    <w:rsid w:val="00485CFA"/>
    <w:rsid w:val="00490279"/>
    <w:rsid w:val="004A2770"/>
    <w:rsid w:val="00583121"/>
    <w:rsid w:val="005C334F"/>
    <w:rsid w:val="005C3F4D"/>
    <w:rsid w:val="006330E8"/>
    <w:rsid w:val="00664995"/>
    <w:rsid w:val="00677CCB"/>
    <w:rsid w:val="006A6176"/>
    <w:rsid w:val="007216DC"/>
    <w:rsid w:val="00777C65"/>
    <w:rsid w:val="00783D8F"/>
    <w:rsid w:val="007B05EE"/>
    <w:rsid w:val="007E5F7D"/>
    <w:rsid w:val="0081070F"/>
    <w:rsid w:val="00890FF9"/>
    <w:rsid w:val="00893BE4"/>
    <w:rsid w:val="00936F35"/>
    <w:rsid w:val="00950D12"/>
    <w:rsid w:val="00986B78"/>
    <w:rsid w:val="009B6564"/>
    <w:rsid w:val="009C7062"/>
    <w:rsid w:val="009E433C"/>
    <w:rsid w:val="00A036F2"/>
    <w:rsid w:val="00A54A9A"/>
    <w:rsid w:val="00A9765A"/>
    <w:rsid w:val="00AA6E62"/>
    <w:rsid w:val="00AF70AE"/>
    <w:rsid w:val="00B010B4"/>
    <w:rsid w:val="00B33285"/>
    <w:rsid w:val="00B711DD"/>
    <w:rsid w:val="00C93626"/>
    <w:rsid w:val="00D57EBA"/>
    <w:rsid w:val="00D8268D"/>
    <w:rsid w:val="00DA6A8C"/>
    <w:rsid w:val="00DC618E"/>
    <w:rsid w:val="00DC748C"/>
    <w:rsid w:val="00E2601E"/>
    <w:rsid w:val="00EF37E4"/>
    <w:rsid w:val="00F21AD3"/>
    <w:rsid w:val="00F83B21"/>
    <w:rsid w:val="00F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121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312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31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312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3121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83121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3121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83121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83121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12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312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31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831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312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8312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8312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8312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312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3121"/>
  </w:style>
  <w:style w:type="numbering" w:customStyle="1" w:styleId="110">
    <w:name w:val="Нет списка11"/>
    <w:next w:val="a2"/>
    <w:uiPriority w:val="99"/>
    <w:semiHidden/>
    <w:rsid w:val="00583121"/>
  </w:style>
  <w:style w:type="paragraph" w:styleId="a3">
    <w:name w:val="header"/>
    <w:basedOn w:val="a"/>
    <w:link w:val="a4"/>
    <w:uiPriority w:val="99"/>
    <w:rsid w:val="00583121"/>
    <w:pPr>
      <w:tabs>
        <w:tab w:val="center" w:pos="4320"/>
        <w:tab w:val="right" w:pos="8640"/>
      </w:tabs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character" w:styleId="a5">
    <w:name w:val="page number"/>
    <w:basedOn w:val="a0"/>
    <w:rsid w:val="00583121"/>
  </w:style>
  <w:style w:type="paragraph" w:styleId="a6">
    <w:name w:val="footer"/>
    <w:basedOn w:val="a"/>
    <w:link w:val="a7"/>
    <w:rsid w:val="00583121"/>
    <w:pPr>
      <w:tabs>
        <w:tab w:val="center" w:pos="4320"/>
        <w:tab w:val="right" w:pos="8640"/>
      </w:tabs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583121"/>
    <w:pPr>
      <w:spacing w:after="0" w:line="380" w:lineRule="exac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8312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5831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rsid w:val="0058312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831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583121"/>
    <w:pPr>
      <w:spacing w:after="0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831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rsid w:val="0058312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83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583121"/>
    <w:pPr>
      <w:spacing w:after="0" w:line="240" w:lineRule="auto"/>
      <w:ind w:right="373"/>
      <w:jc w:val="center"/>
    </w:pPr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83121"/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583121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semiHidden/>
    <w:rsid w:val="00583121"/>
    <w:rPr>
      <w:vertAlign w:val="superscript"/>
    </w:rPr>
  </w:style>
  <w:style w:type="paragraph" w:styleId="ad">
    <w:name w:val="footnote text"/>
    <w:basedOn w:val="a"/>
    <w:link w:val="ae"/>
    <w:semiHidden/>
    <w:rsid w:val="0058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58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83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textAlignment w:val="top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5831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Bullet"/>
    <w:basedOn w:val="a"/>
    <w:autoRedefine/>
    <w:rsid w:val="00583121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f2">
    <w:name w:val="List Continue"/>
    <w:basedOn w:val="a"/>
    <w:rsid w:val="005831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rsid w:val="005831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3512BF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Arial"/>
      <w:b/>
      <w:bCs/>
      <w:caps/>
      <w:smallCaps/>
      <w:noProof/>
      <w:sz w:val="20"/>
      <w:szCs w:val="28"/>
      <w:lang w:eastAsia="ru-RU"/>
    </w:rPr>
  </w:style>
  <w:style w:type="paragraph" w:customStyle="1" w:styleId="Style0">
    <w:name w:val="Style0"/>
    <w:rsid w:val="00583121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  <w:style w:type="character" w:customStyle="1" w:styleId="SUBST">
    <w:name w:val="__SUBST"/>
    <w:rsid w:val="00583121"/>
    <w:rPr>
      <w:b/>
      <w:bCs/>
      <w:i/>
      <w:iCs/>
      <w:sz w:val="22"/>
      <w:szCs w:val="22"/>
    </w:rPr>
  </w:style>
  <w:style w:type="paragraph" w:customStyle="1" w:styleId="14">
    <w:name w:val="Обычный1"/>
    <w:rsid w:val="0058312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583121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5831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1">
    <w:name w:val="FR1"/>
    <w:rsid w:val="00583121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5">
    <w:name w:val="List"/>
    <w:basedOn w:val="a"/>
    <w:rsid w:val="005831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583121"/>
    <w:pPr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583121"/>
    <w:rPr>
      <w:rFonts w:ascii="Tahoma" w:eastAsia="Times New Roman" w:hAnsi="Tahoma" w:cs="Courier New"/>
      <w:sz w:val="16"/>
      <w:szCs w:val="16"/>
      <w:lang w:eastAsia="ru-RU"/>
    </w:rPr>
  </w:style>
  <w:style w:type="paragraph" w:styleId="27">
    <w:name w:val="toc 2"/>
    <w:basedOn w:val="a"/>
    <w:next w:val="a"/>
    <w:autoRedefine/>
    <w:uiPriority w:val="39"/>
    <w:qFormat/>
    <w:rsid w:val="00583121"/>
    <w:pPr>
      <w:tabs>
        <w:tab w:val="right" w:leader="dot" w:pos="9345"/>
      </w:tabs>
      <w:spacing w:after="0" w:line="360" w:lineRule="auto"/>
      <w:ind w:firstLine="425"/>
    </w:pPr>
    <w:rPr>
      <w:rFonts w:ascii="Arial" w:eastAsia="Times New Roman" w:hAnsi="Arial" w:cs="Arial"/>
      <w:smallCaps/>
      <w:noProof/>
      <w:sz w:val="20"/>
      <w:szCs w:val="24"/>
      <w:lang w:eastAsia="ru-RU"/>
    </w:rPr>
  </w:style>
  <w:style w:type="paragraph" w:styleId="35">
    <w:name w:val="toc 3"/>
    <w:basedOn w:val="a"/>
    <w:next w:val="a"/>
    <w:autoRedefine/>
    <w:uiPriority w:val="39"/>
    <w:semiHidden/>
    <w:qFormat/>
    <w:rsid w:val="00583121"/>
    <w:pPr>
      <w:tabs>
        <w:tab w:val="right" w:leader="dot" w:pos="9345"/>
      </w:tabs>
      <w:spacing w:after="0" w:line="240" w:lineRule="auto"/>
      <w:ind w:left="400"/>
    </w:pPr>
    <w:rPr>
      <w:rFonts w:ascii="Times New Roman" w:eastAsia="Times New Roman" w:hAnsi="Times New Roman" w:cs="Times New Roman"/>
      <w:i/>
      <w:iCs/>
      <w:noProof/>
      <w:sz w:val="18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583121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51">
    <w:name w:val="toc 5"/>
    <w:basedOn w:val="a"/>
    <w:next w:val="a"/>
    <w:autoRedefine/>
    <w:semiHidden/>
    <w:rsid w:val="00583121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61">
    <w:name w:val="toc 6"/>
    <w:basedOn w:val="a"/>
    <w:next w:val="a"/>
    <w:autoRedefine/>
    <w:semiHidden/>
    <w:rsid w:val="00583121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71">
    <w:name w:val="toc 7"/>
    <w:basedOn w:val="a"/>
    <w:next w:val="a"/>
    <w:autoRedefine/>
    <w:semiHidden/>
    <w:rsid w:val="0058312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81">
    <w:name w:val="toc 8"/>
    <w:basedOn w:val="a"/>
    <w:next w:val="a"/>
    <w:autoRedefine/>
    <w:semiHidden/>
    <w:rsid w:val="00583121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91">
    <w:name w:val="toc 9"/>
    <w:basedOn w:val="a"/>
    <w:next w:val="a"/>
    <w:autoRedefine/>
    <w:semiHidden/>
    <w:rsid w:val="00583121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character" w:styleId="af8">
    <w:name w:val="Hyperlink"/>
    <w:uiPriority w:val="99"/>
    <w:rsid w:val="00583121"/>
    <w:rPr>
      <w:color w:val="0000FF"/>
      <w:u w:val="single"/>
    </w:rPr>
  </w:style>
  <w:style w:type="character" w:styleId="af9">
    <w:name w:val="FollowedHyperlink"/>
    <w:rsid w:val="00583121"/>
    <w:rPr>
      <w:color w:val="800080"/>
      <w:u w:val="single"/>
    </w:rPr>
  </w:style>
  <w:style w:type="paragraph" w:customStyle="1" w:styleId="xl24">
    <w:name w:val="xl24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5">
    <w:name w:val="xl25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6">
    <w:name w:val="xl26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7">
    <w:name w:val="xl27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28">
    <w:name w:val="xl28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29">
    <w:name w:val="xl29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30">
    <w:name w:val="xl30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1">
    <w:name w:val="xl31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2">
    <w:name w:val="xl32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24"/>
      <w:szCs w:val="24"/>
      <w:lang w:eastAsia="ru-RU"/>
    </w:rPr>
  </w:style>
  <w:style w:type="paragraph" w:customStyle="1" w:styleId="xl33">
    <w:name w:val="xl33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34">
    <w:name w:val="xl34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5">
    <w:name w:val="xl35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24"/>
      <w:szCs w:val="24"/>
      <w:lang w:eastAsia="ru-RU"/>
    </w:rPr>
  </w:style>
  <w:style w:type="paragraph" w:customStyle="1" w:styleId="xl36">
    <w:name w:val="xl36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8">
    <w:name w:val="xl38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16"/>
      <w:szCs w:val="16"/>
      <w:lang w:eastAsia="ru-RU"/>
    </w:rPr>
  </w:style>
  <w:style w:type="paragraph" w:customStyle="1" w:styleId="xl39">
    <w:name w:val="xl39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5831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1">
    <w:name w:val="xl41"/>
    <w:basedOn w:val="a"/>
    <w:rsid w:val="005831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i/>
      <w:iCs/>
      <w:lang w:eastAsia="ru-RU"/>
    </w:rPr>
  </w:style>
  <w:style w:type="paragraph" w:customStyle="1" w:styleId="xl42">
    <w:name w:val="xl42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3">
    <w:name w:val="xl43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4">
    <w:name w:val="xl44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24"/>
      <w:szCs w:val="24"/>
      <w:lang w:eastAsia="ru-RU"/>
    </w:rPr>
  </w:style>
  <w:style w:type="paragraph" w:customStyle="1" w:styleId="xl45">
    <w:name w:val="xl45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18"/>
      <w:szCs w:val="18"/>
      <w:lang w:eastAsia="ru-RU"/>
    </w:rPr>
  </w:style>
  <w:style w:type="paragraph" w:customStyle="1" w:styleId="xl46">
    <w:name w:val="xl46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afa">
    <w:name w:val="ВерхКолонтитулОсн"/>
    <w:basedOn w:val="a8"/>
    <w:rsid w:val="00583121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customStyle="1" w:styleId="15">
    <w:name w:val="Стиль1"/>
    <w:basedOn w:val="a8"/>
    <w:rsid w:val="00583121"/>
    <w:pPr>
      <w:spacing w:before="60" w:line="240" w:lineRule="exact"/>
    </w:pPr>
  </w:style>
  <w:style w:type="paragraph" w:customStyle="1" w:styleId="28">
    <w:name w:val="Стиль2"/>
    <w:basedOn w:val="a8"/>
    <w:next w:val="a8"/>
    <w:rsid w:val="00583121"/>
    <w:pPr>
      <w:spacing w:before="60"/>
    </w:pPr>
  </w:style>
  <w:style w:type="paragraph" w:customStyle="1" w:styleId="xl48">
    <w:name w:val="xl48"/>
    <w:basedOn w:val="a"/>
    <w:rsid w:val="005831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ET"/>
      <w:i/>
      <w:iCs/>
      <w:sz w:val="24"/>
      <w:szCs w:val="24"/>
      <w:lang w:eastAsia="ru-RU"/>
    </w:rPr>
  </w:style>
  <w:style w:type="paragraph" w:styleId="afb">
    <w:name w:val="table of figures"/>
    <w:basedOn w:val="a"/>
    <w:next w:val="a"/>
    <w:semiHidden/>
    <w:rsid w:val="00583121"/>
    <w:pPr>
      <w:spacing w:after="0" w:line="240" w:lineRule="auto"/>
      <w:ind w:left="400" w:hanging="400"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16">
    <w:name w:val="index 1"/>
    <w:basedOn w:val="a"/>
    <w:next w:val="a"/>
    <w:autoRedefine/>
    <w:semiHidden/>
    <w:rsid w:val="00583121"/>
    <w:pPr>
      <w:spacing w:after="0" w:line="240" w:lineRule="auto"/>
      <w:ind w:left="200" w:hanging="200"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583121"/>
    <w:pPr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character" w:styleId="afe">
    <w:name w:val="endnote reference"/>
    <w:semiHidden/>
    <w:rsid w:val="00583121"/>
    <w:rPr>
      <w:vertAlign w:val="superscript"/>
    </w:rPr>
  </w:style>
  <w:style w:type="paragraph" w:customStyle="1" w:styleId="xl49">
    <w:name w:val="xl49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i/>
      <w:iCs/>
      <w:lang w:eastAsia="ru-RU"/>
    </w:rPr>
  </w:style>
  <w:style w:type="paragraph" w:customStyle="1" w:styleId="xl50">
    <w:name w:val="xl50"/>
    <w:basedOn w:val="a"/>
    <w:rsid w:val="005831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i/>
      <w:iCs/>
      <w:lang w:eastAsia="ru-RU"/>
    </w:rPr>
  </w:style>
  <w:style w:type="paragraph" w:customStyle="1" w:styleId="xl51">
    <w:name w:val="xl51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2">
    <w:name w:val="xl52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xl53">
    <w:name w:val="xl53"/>
    <w:basedOn w:val="a"/>
    <w:rsid w:val="005831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4">
    <w:name w:val="xl54"/>
    <w:basedOn w:val="a"/>
    <w:rsid w:val="0058312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55">
    <w:name w:val="xl55"/>
    <w:basedOn w:val="a"/>
    <w:rsid w:val="0058312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xl56">
    <w:name w:val="xl56"/>
    <w:basedOn w:val="a"/>
    <w:rsid w:val="005831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rvps75131">
    <w:name w:val="rvps75131"/>
    <w:basedOn w:val="a"/>
    <w:rsid w:val="00583121"/>
    <w:pPr>
      <w:spacing w:after="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rvts75132">
    <w:name w:val="rvts75132"/>
    <w:rsid w:val="00583121"/>
    <w:rPr>
      <w:rFonts w:ascii="Verdana" w:hAnsi="Verdana" w:hint="default"/>
      <w:b/>
      <w:bCs/>
      <w:i w:val="0"/>
      <w:iCs w:val="0"/>
      <w:strike w:val="0"/>
      <w:dstrike w:val="0"/>
      <w:color w:val="000000"/>
      <w:sz w:val="23"/>
      <w:szCs w:val="23"/>
      <w:u w:val="none"/>
      <w:effect w:val="none"/>
      <w:shd w:val="clear" w:color="auto" w:fill="auto"/>
    </w:rPr>
  </w:style>
  <w:style w:type="character" w:customStyle="1" w:styleId="rvts751327">
    <w:name w:val="rvts751327"/>
    <w:rsid w:val="005831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0"/>
      <w:szCs w:val="10"/>
      <w:u w:val="none"/>
      <w:effect w:val="none"/>
      <w:shd w:val="clear" w:color="auto" w:fill="auto"/>
    </w:rPr>
  </w:style>
  <w:style w:type="paragraph" w:styleId="aff">
    <w:name w:val="caption"/>
    <w:basedOn w:val="a"/>
    <w:next w:val="a"/>
    <w:qFormat/>
    <w:rsid w:val="00583121"/>
    <w:pPr>
      <w:spacing w:before="120" w:after="0" w:line="360" w:lineRule="exact"/>
      <w:ind w:firstLine="720"/>
      <w:jc w:val="both"/>
    </w:pPr>
    <w:rPr>
      <w:rFonts w:ascii="Arial" w:eastAsia="Times New Roman" w:hAnsi="Arial" w:cs="Arial"/>
      <w:b/>
      <w:iCs/>
      <w:sz w:val="24"/>
      <w:szCs w:val="20"/>
      <w:lang w:eastAsia="ru-RU"/>
    </w:rPr>
  </w:style>
  <w:style w:type="paragraph" w:customStyle="1" w:styleId="Style1">
    <w:name w:val="Style1"/>
    <w:basedOn w:val="a"/>
    <w:rsid w:val="0058312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rsid w:val="0058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rsid w:val="0058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annotation text"/>
    <w:basedOn w:val="a"/>
    <w:link w:val="aff3"/>
    <w:uiPriority w:val="99"/>
    <w:rsid w:val="005831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58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List Paragraph"/>
    <w:basedOn w:val="a"/>
    <w:uiPriority w:val="34"/>
    <w:qFormat/>
    <w:rsid w:val="00583121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aff5">
    <w:name w:val="No Spacing"/>
    <w:uiPriority w:val="1"/>
    <w:qFormat/>
    <w:rsid w:val="00583121"/>
    <w:pPr>
      <w:spacing w:after="0" w:line="240" w:lineRule="auto"/>
    </w:pPr>
  </w:style>
  <w:style w:type="paragraph" w:customStyle="1" w:styleId="Default">
    <w:name w:val="Default"/>
    <w:rsid w:val="005831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83121"/>
    <w:pPr>
      <w:autoSpaceDE w:val="0"/>
      <w:autoSpaceDN w:val="0"/>
      <w:adjustRightInd w:val="0"/>
      <w:spacing w:after="0" w:line="240" w:lineRule="auto"/>
    </w:pPr>
    <w:rPr>
      <w:rFonts w:ascii="Xenia-Bold" w:hAnsi="Xenia-Bold" w:cs="Xenia-Bold"/>
      <w:sz w:val="28"/>
      <w:szCs w:val="28"/>
    </w:rPr>
  </w:style>
  <w:style w:type="paragraph" w:styleId="aff6">
    <w:name w:val="TOC Heading"/>
    <w:basedOn w:val="1"/>
    <w:next w:val="a"/>
    <w:uiPriority w:val="39"/>
    <w:semiHidden/>
    <w:unhideWhenUsed/>
    <w:qFormat/>
    <w:rsid w:val="0058312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table" w:customStyle="1" w:styleId="17">
    <w:name w:val="Сетка таблицы1"/>
    <w:basedOn w:val="a1"/>
    <w:next w:val="aff0"/>
    <w:uiPriority w:val="59"/>
    <w:rsid w:val="0058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f0"/>
    <w:uiPriority w:val="59"/>
    <w:rsid w:val="0058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121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3121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31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83121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3121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83121"/>
    <w:pPr>
      <w:numPr>
        <w:ilvl w:val="5"/>
        <w:numId w:val="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3121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83121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83121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312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3121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31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8312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312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8312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83121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83121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8312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3121"/>
  </w:style>
  <w:style w:type="numbering" w:customStyle="1" w:styleId="110">
    <w:name w:val="Нет списка11"/>
    <w:next w:val="a2"/>
    <w:uiPriority w:val="99"/>
    <w:semiHidden/>
    <w:rsid w:val="00583121"/>
  </w:style>
  <w:style w:type="paragraph" w:styleId="a3">
    <w:name w:val="header"/>
    <w:basedOn w:val="a"/>
    <w:link w:val="a4"/>
    <w:uiPriority w:val="99"/>
    <w:rsid w:val="00583121"/>
    <w:pPr>
      <w:tabs>
        <w:tab w:val="center" w:pos="4320"/>
        <w:tab w:val="right" w:pos="8640"/>
      </w:tabs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character" w:styleId="a5">
    <w:name w:val="page number"/>
    <w:basedOn w:val="a0"/>
    <w:rsid w:val="00583121"/>
  </w:style>
  <w:style w:type="paragraph" w:styleId="a6">
    <w:name w:val="footer"/>
    <w:basedOn w:val="a"/>
    <w:link w:val="a7"/>
    <w:rsid w:val="00583121"/>
    <w:pPr>
      <w:tabs>
        <w:tab w:val="center" w:pos="4320"/>
        <w:tab w:val="right" w:pos="8640"/>
      </w:tabs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583121"/>
    <w:pPr>
      <w:spacing w:after="0" w:line="380" w:lineRule="exac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8312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5831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аголовок 1"/>
    <w:basedOn w:val="a"/>
    <w:next w:val="a"/>
    <w:rsid w:val="0058312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5831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583121"/>
    <w:pPr>
      <w:spacing w:after="0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831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4">
    <w:name w:val="Body Text Indent 2"/>
    <w:basedOn w:val="a"/>
    <w:link w:val="25"/>
    <w:rsid w:val="0058312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583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583121"/>
    <w:pPr>
      <w:spacing w:after="0" w:line="240" w:lineRule="auto"/>
      <w:ind w:right="373"/>
      <w:jc w:val="center"/>
    </w:pPr>
    <w:rPr>
      <w:rFonts w:ascii="TimesET" w:eastAsia="Times New Roman" w:hAnsi="TimesET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83121"/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583121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otnote reference"/>
    <w:semiHidden/>
    <w:rsid w:val="00583121"/>
    <w:rPr>
      <w:vertAlign w:val="superscript"/>
    </w:rPr>
  </w:style>
  <w:style w:type="paragraph" w:styleId="ad">
    <w:name w:val="footnote text"/>
    <w:basedOn w:val="a"/>
    <w:link w:val="ae"/>
    <w:semiHidden/>
    <w:rsid w:val="0058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58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83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textAlignment w:val="top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5831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5831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Bullet"/>
    <w:basedOn w:val="a"/>
    <w:autoRedefine/>
    <w:rsid w:val="00583121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f2">
    <w:name w:val="List Continue"/>
    <w:basedOn w:val="a"/>
    <w:rsid w:val="005831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2"/>
    <w:basedOn w:val="a"/>
    <w:rsid w:val="0058312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uiPriority w:val="39"/>
    <w:qFormat/>
    <w:rsid w:val="003512BF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Arial"/>
      <w:b/>
      <w:bCs/>
      <w:caps/>
      <w:smallCaps/>
      <w:noProof/>
      <w:sz w:val="20"/>
      <w:szCs w:val="28"/>
      <w:lang w:eastAsia="ru-RU"/>
    </w:rPr>
  </w:style>
  <w:style w:type="paragraph" w:customStyle="1" w:styleId="Style0">
    <w:name w:val="Style0"/>
    <w:rsid w:val="00583121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ru-RU"/>
    </w:rPr>
  </w:style>
  <w:style w:type="character" w:customStyle="1" w:styleId="SUBST">
    <w:name w:val="__SUBST"/>
    <w:rsid w:val="00583121"/>
    <w:rPr>
      <w:b/>
      <w:bCs/>
      <w:i/>
      <w:iCs/>
      <w:sz w:val="22"/>
      <w:szCs w:val="22"/>
    </w:rPr>
  </w:style>
  <w:style w:type="paragraph" w:customStyle="1" w:styleId="14">
    <w:name w:val="Обычный1"/>
    <w:rsid w:val="0058312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583121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5831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FR1">
    <w:name w:val="FR1"/>
    <w:rsid w:val="00583121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5">
    <w:name w:val="List"/>
    <w:basedOn w:val="a"/>
    <w:rsid w:val="0058312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583121"/>
    <w:pPr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583121"/>
    <w:rPr>
      <w:rFonts w:ascii="Tahoma" w:eastAsia="Times New Roman" w:hAnsi="Tahoma" w:cs="Courier New"/>
      <w:sz w:val="16"/>
      <w:szCs w:val="16"/>
      <w:lang w:eastAsia="ru-RU"/>
    </w:rPr>
  </w:style>
  <w:style w:type="paragraph" w:styleId="27">
    <w:name w:val="toc 2"/>
    <w:basedOn w:val="a"/>
    <w:next w:val="a"/>
    <w:autoRedefine/>
    <w:uiPriority w:val="39"/>
    <w:qFormat/>
    <w:rsid w:val="00583121"/>
    <w:pPr>
      <w:tabs>
        <w:tab w:val="right" w:leader="dot" w:pos="9345"/>
      </w:tabs>
      <w:spacing w:after="0" w:line="360" w:lineRule="auto"/>
      <w:ind w:firstLine="425"/>
    </w:pPr>
    <w:rPr>
      <w:rFonts w:ascii="Arial" w:eastAsia="Times New Roman" w:hAnsi="Arial" w:cs="Arial"/>
      <w:smallCaps/>
      <w:noProof/>
      <w:sz w:val="20"/>
      <w:szCs w:val="24"/>
      <w:lang w:eastAsia="ru-RU"/>
    </w:rPr>
  </w:style>
  <w:style w:type="paragraph" w:styleId="35">
    <w:name w:val="toc 3"/>
    <w:basedOn w:val="a"/>
    <w:next w:val="a"/>
    <w:autoRedefine/>
    <w:uiPriority w:val="39"/>
    <w:semiHidden/>
    <w:qFormat/>
    <w:rsid w:val="00583121"/>
    <w:pPr>
      <w:tabs>
        <w:tab w:val="right" w:leader="dot" w:pos="9345"/>
      </w:tabs>
      <w:spacing w:after="0" w:line="240" w:lineRule="auto"/>
      <w:ind w:left="400"/>
    </w:pPr>
    <w:rPr>
      <w:rFonts w:ascii="Times New Roman" w:eastAsia="Times New Roman" w:hAnsi="Times New Roman" w:cs="Times New Roman"/>
      <w:i/>
      <w:iCs/>
      <w:noProof/>
      <w:sz w:val="18"/>
      <w:szCs w:val="24"/>
      <w:lang w:eastAsia="ru-RU"/>
    </w:rPr>
  </w:style>
  <w:style w:type="paragraph" w:styleId="41">
    <w:name w:val="toc 4"/>
    <w:basedOn w:val="a"/>
    <w:next w:val="a"/>
    <w:autoRedefine/>
    <w:semiHidden/>
    <w:rsid w:val="00583121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51">
    <w:name w:val="toc 5"/>
    <w:basedOn w:val="a"/>
    <w:next w:val="a"/>
    <w:autoRedefine/>
    <w:semiHidden/>
    <w:rsid w:val="00583121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61">
    <w:name w:val="toc 6"/>
    <w:basedOn w:val="a"/>
    <w:next w:val="a"/>
    <w:autoRedefine/>
    <w:semiHidden/>
    <w:rsid w:val="00583121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71">
    <w:name w:val="toc 7"/>
    <w:basedOn w:val="a"/>
    <w:next w:val="a"/>
    <w:autoRedefine/>
    <w:semiHidden/>
    <w:rsid w:val="00583121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81">
    <w:name w:val="toc 8"/>
    <w:basedOn w:val="a"/>
    <w:next w:val="a"/>
    <w:autoRedefine/>
    <w:semiHidden/>
    <w:rsid w:val="00583121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paragraph" w:styleId="91">
    <w:name w:val="toc 9"/>
    <w:basedOn w:val="a"/>
    <w:next w:val="a"/>
    <w:autoRedefine/>
    <w:semiHidden/>
    <w:rsid w:val="00583121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1"/>
      <w:lang w:eastAsia="ru-RU"/>
    </w:rPr>
  </w:style>
  <w:style w:type="character" w:styleId="af8">
    <w:name w:val="Hyperlink"/>
    <w:uiPriority w:val="99"/>
    <w:rsid w:val="00583121"/>
    <w:rPr>
      <w:color w:val="0000FF"/>
      <w:u w:val="single"/>
    </w:rPr>
  </w:style>
  <w:style w:type="character" w:styleId="af9">
    <w:name w:val="FollowedHyperlink"/>
    <w:rsid w:val="00583121"/>
    <w:rPr>
      <w:color w:val="800080"/>
      <w:u w:val="single"/>
    </w:rPr>
  </w:style>
  <w:style w:type="paragraph" w:customStyle="1" w:styleId="xl24">
    <w:name w:val="xl24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5">
    <w:name w:val="xl25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6">
    <w:name w:val="xl26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27">
    <w:name w:val="xl27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28">
    <w:name w:val="xl28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29">
    <w:name w:val="xl29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30">
    <w:name w:val="xl30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1">
    <w:name w:val="xl31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2">
    <w:name w:val="xl32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24"/>
      <w:szCs w:val="24"/>
      <w:lang w:eastAsia="ru-RU"/>
    </w:rPr>
  </w:style>
  <w:style w:type="paragraph" w:customStyle="1" w:styleId="xl33">
    <w:name w:val="xl33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i/>
      <w:iCs/>
      <w:sz w:val="18"/>
      <w:szCs w:val="18"/>
      <w:lang w:eastAsia="ru-RU"/>
    </w:rPr>
  </w:style>
  <w:style w:type="paragraph" w:customStyle="1" w:styleId="xl34">
    <w:name w:val="xl34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5">
    <w:name w:val="xl35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24"/>
      <w:szCs w:val="24"/>
      <w:lang w:eastAsia="ru-RU"/>
    </w:rPr>
  </w:style>
  <w:style w:type="paragraph" w:customStyle="1" w:styleId="xl36">
    <w:name w:val="xl36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583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sz w:val="24"/>
      <w:szCs w:val="24"/>
      <w:lang w:eastAsia="ru-RU"/>
    </w:rPr>
  </w:style>
  <w:style w:type="paragraph" w:customStyle="1" w:styleId="xl38">
    <w:name w:val="xl38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16"/>
      <w:szCs w:val="16"/>
      <w:lang w:eastAsia="ru-RU"/>
    </w:rPr>
  </w:style>
  <w:style w:type="paragraph" w:customStyle="1" w:styleId="xl39">
    <w:name w:val="xl39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5831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1">
    <w:name w:val="xl41"/>
    <w:basedOn w:val="a"/>
    <w:rsid w:val="005831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i/>
      <w:iCs/>
      <w:lang w:eastAsia="ru-RU"/>
    </w:rPr>
  </w:style>
  <w:style w:type="paragraph" w:customStyle="1" w:styleId="xl42">
    <w:name w:val="xl42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3">
    <w:name w:val="xl43"/>
    <w:basedOn w:val="a"/>
    <w:rsid w:val="00583121"/>
    <w:pP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4">
    <w:name w:val="xl44"/>
    <w:basedOn w:val="a"/>
    <w:rsid w:val="005831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ntiqua"/>
      <w:b/>
      <w:bCs/>
      <w:i/>
      <w:iCs/>
      <w:sz w:val="24"/>
      <w:szCs w:val="24"/>
      <w:lang w:eastAsia="ru-RU"/>
    </w:rPr>
  </w:style>
  <w:style w:type="paragraph" w:customStyle="1" w:styleId="xl45">
    <w:name w:val="xl45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18"/>
      <w:szCs w:val="18"/>
      <w:lang w:eastAsia="ru-RU"/>
    </w:rPr>
  </w:style>
  <w:style w:type="paragraph" w:customStyle="1" w:styleId="xl46">
    <w:name w:val="xl46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583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ntiqua"/>
      <w:b/>
      <w:bCs/>
      <w:sz w:val="24"/>
      <w:szCs w:val="24"/>
      <w:lang w:eastAsia="ru-RU"/>
    </w:rPr>
  </w:style>
  <w:style w:type="paragraph" w:customStyle="1" w:styleId="afa">
    <w:name w:val="ВерхКолонтитулОсн"/>
    <w:basedOn w:val="a8"/>
    <w:rsid w:val="00583121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</w:rPr>
  </w:style>
  <w:style w:type="paragraph" w:customStyle="1" w:styleId="15">
    <w:name w:val="Стиль1"/>
    <w:basedOn w:val="a8"/>
    <w:rsid w:val="00583121"/>
    <w:pPr>
      <w:spacing w:before="60" w:line="240" w:lineRule="exact"/>
    </w:pPr>
  </w:style>
  <w:style w:type="paragraph" w:customStyle="1" w:styleId="28">
    <w:name w:val="Стиль2"/>
    <w:basedOn w:val="a8"/>
    <w:next w:val="a8"/>
    <w:rsid w:val="00583121"/>
    <w:pPr>
      <w:spacing w:before="60"/>
    </w:pPr>
  </w:style>
  <w:style w:type="paragraph" w:customStyle="1" w:styleId="xl48">
    <w:name w:val="xl48"/>
    <w:basedOn w:val="a"/>
    <w:rsid w:val="005831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ET"/>
      <w:i/>
      <w:iCs/>
      <w:sz w:val="24"/>
      <w:szCs w:val="24"/>
      <w:lang w:eastAsia="ru-RU"/>
    </w:rPr>
  </w:style>
  <w:style w:type="paragraph" w:styleId="afb">
    <w:name w:val="table of figures"/>
    <w:basedOn w:val="a"/>
    <w:next w:val="a"/>
    <w:semiHidden/>
    <w:rsid w:val="00583121"/>
    <w:pPr>
      <w:spacing w:after="0" w:line="240" w:lineRule="auto"/>
      <w:ind w:left="400" w:hanging="400"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16">
    <w:name w:val="index 1"/>
    <w:basedOn w:val="a"/>
    <w:next w:val="a"/>
    <w:autoRedefine/>
    <w:semiHidden/>
    <w:rsid w:val="00583121"/>
    <w:pPr>
      <w:spacing w:after="0" w:line="240" w:lineRule="auto"/>
      <w:ind w:left="200" w:hanging="200"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583121"/>
    <w:pPr>
      <w:spacing w:after="0" w:line="240" w:lineRule="auto"/>
    </w:pPr>
    <w:rPr>
      <w:rFonts w:ascii="Antiqua" w:eastAsia="Times New Roman" w:hAnsi="Antiqua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83121"/>
    <w:rPr>
      <w:rFonts w:ascii="Antiqua" w:eastAsia="Times New Roman" w:hAnsi="Antiqua" w:cs="Times New Roman"/>
      <w:sz w:val="20"/>
      <w:szCs w:val="20"/>
      <w:lang w:eastAsia="ru-RU"/>
    </w:rPr>
  </w:style>
  <w:style w:type="character" w:styleId="afe">
    <w:name w:val="endnote reference"/>
    <w:semiHidden/>
    <w:rsid w:val="00583121"/>
    <w:rPr>
      <w:vertAlign w:val="superscript"/>
    </w:rPr>
  </w:style>
  <w:style w:type="paragraph" w:customStyle="1" w:styleId="xl49">
    <w:name w:val="xl49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i/>
      <w:iCs/>
      <w:lang w:eastAsia="ru-RU"/>
    </w:rPr>
  </w:style>
  <w:style w:type="paragraph" w:customStyle="1" w:styleId="xl50">
    <w:name w:val="xl50"/>
    <w:basedOn w:val="a"/>
    <w:rsid w:val="005831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i/>
      <w:iCs/>
      <w:lang w:eastAsia="ru-RU"/>
    </w:rPr>
  </w:style>
  <w:style w:type="paragraph" w:customStyle="1" w:styleId="xl51">
    <w:name w:val="xl51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2">
    <w:name w:val="xl52"/>
    <w:basedOn w:val="a"/>
    <w:rsid w:val="005831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xl53">
    <w:name w:val="xl53"/>
    <w:basedOn w:val="a"/>
    <w:rsid w:val="005831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4">
    <w:name w:val="xl54"/>
    <w:basedOn w:val="a"/>
    <w:rsid w:val="0058312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b/>
      <w:bCs/>
      <w:lang w:eastAsia="ru-RU"/>
    </w:rPr>
  </w:style>
  <w:style w:type="paragraph" w:customStyle="1" w:styleId="xl55">
    <w:name w:val="xl55"/>
    <w:basedOn w:val="a"/>
    <w:rsid w:val="0058312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xl56">
    <w:name w:val="xl56"/>
    <w:basedOn w:val="a"/>
    <w:rsid w:val="005831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Arial Unicode MS" w:hAnsi="Times New Roman" w:cs="Times New Roman"/>
      <w:b/>
      <w:bCs/>
      <w:i/>
      <w:iCs/>
      <w:lang w:eastAsia="ru-RU"/>
    </w:rPr>
  </w:style>
  <w:style w:type="paragraph" w:customStyle="1" w:styleId="rvps75131">
    <w:name w:val="rvps75131"/>
    <w:basedOn w:val="a"/>
    <w:rsid w:val="00583121"/>
    <w:pPr>
      <w:spacing w:after="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rvts75132">
    <w:name w:val="rvts75132"/>
    <w:rsid w:val="00583121"/>
    <w:rPr>
      <w:rFonts w:ascii="Verdana" w:hAnsi="Verdana" w:hint="default"/>
      <w:b/>
      <w:bCs/>
      <w:i w:val="0"/>
      <w:iCs w:val="0"/>
      <w:strike w:val="0"/>
      <w:dstrike w:val="0"/>
      <w:color w:val="000000"/>
      <w:sz w:val="23"/>
      <w:szCs w:val="23"/>
      <w:u w:val="none"/>
      <w:effect w:val="none"/>
      <w:shd w:val="clear" w:color="auto" w:fill="auto"/>
    </w:rPr>
  </w:style>
  <w:style w:type="character" w:customStyle="1" w:styleId="rvts751327">
    <w:name w:val="rvts751327"/>
    <w:rsid w:val="0058312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0"/>
      <w:szCs w:val="10"/>
      <w:u w:val="none"/>
      <w:effect w:val="none"/>
      <w:shd w:val="clear" w:color="auto" w:fill="auto"/>
    </w:rPr>
  </w:style>
  <w:style w:type="paragraph" w:styleId="aff">
    <w:name w:val="caption"/>
    <w:basedOn w:val="a"/>
    <w:next w:val="a"/>
    <w:qFormat/>
    <w:rsid w:val="00583121"/>
    <w:pPr>
      <w:spacing w:before="120" w:after="0" w:line="360" w:lineRule="exact"/>
      <w:ind w:firstLine="720"/>
      <w:jc w:val="both"/>
    </w:pPr>
    <w:rPr>
      <w:rFonts w:ascii="Arial" w:eastAsia="Times New Roman" w:hAnsi="Arial" w:cs="Arial"/>
      <w:b/>
      <w:iCs/>
      <w:sz w:val="24"/>
      <w:szCs w:val="20"/>
      <w:lang w:eastAsia="ru-RU"/>
    </w:rPr>
  </w:style>
  <w:style w:type="paragraph" w:customStyle="1" w:styleId="Style1">
    <w:name w:val="Style1"/>
    <w:basedOn w:val="a"/>
    <w:rsid w:val="00583121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f0">
    <w:name w:val="Table Grid"/>
    <w:basedOn w:val="a1"/>
    <w:rsid w:val="00583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uiPriority w:val="99"/>
    <w:rsid w:val="0058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annotation text"/>
    <w:basedOn w:val="a"/>
    <w:link w:val="aff3"/>
    <w:uiPriority w:val="99"/>
    <w:rsid w:val="0058312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5831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List Paragraph"/>
    <w:basedOn w:val="a"/>
    <w:uiPriority w:val="34"/>
    <w:qFormat/>
    <w:rsid w:val="00583121"/>
    <w:pPr>
      <w:spacing w:after="0" w:line="240" w:lineRule="auto"/>
      <w:ind w:left="720"/>
      <w:contextualSpacing/>
    </w:pPr>
    <w:rPr>
      <w:rFonts w:ascii="Antiqua" w:eastAsia="Times New Roman" w:hAnsi="Antiqua" w:cs="Times New Roman"/>
      <w:sz w:val="20"/>
      <w:szCs w:val="20"/>
      <w:lang w:eastAsia="ru-RU"/>
    </w:rPr>
  </w:style>
  <w:style w:type="paragraph" w:styleId="aff5">
    <w:name w:val="No Spacing"/>
    <w:uiPriority w:val="1"/>
    <w:qFormat/>
    <w:rsid w:val="00583121"/>
    <w:pPr>
      <w:spacing w:after="0" w:line="240" w:lineRule="auto"/>
    </w:pPr>
  </w:style>
  <w:style w:type="paragraph" w:customStyle="1" w:styleId="Default">
    <w:name w:val="Default"/>
    <w:rsid w:val="005831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83121"/>
    <w:pPr>
      <w:autoSpaceDE w:val="0"/>
      <w:autoSpaceDN w:val="0"/>
      <w:adjustRightInd w:val="0"/>
      <w:spacing w:after="0" w:line="240" w:lineRule="auto"/>
    </w:pPr>
    <w:rPr>
      <w:rFonts w:ascii="Xenia-Bold" w:hAnsi="Xenia-Bold" w:cs="Xenia-Bold"/>
      <w:sz w:val="28"/>
      <w:szCs w:val="28"/>
    </w:rPr>
  </w:style>
  <w:style w:type="paragraph" w:styleId="aff6">
    <w:name w:val="TOC Heading"/>
    <w:basedOn w:val="1"/>
    <w:next w:val="a"/>
    <w:uiPriority w:val="39"/>
    <w:semiHidden/>
    <w:unhideWhenUsed/>
    <w:qFormat/>
    <w:rsid w:val="0058312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table" w:customStyle="1" w:styleId="17">
    <w:name w:val="Сетка таблицы1"/>
    <w:basedOn w:val="a1"/>
    <w:next w:val="aff0"/>
    <w:uiPriority w:val="59"/>
    <w:rsid w:val="0058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f0"/>
    <w:uiPriority w:val="59"/>
    <w:rsid w:val="0058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4.emf"/><Relationship Id="rId26" Type="http://schemas.openxmlformats.org/officeDocument/2006/relationships/hyperlink" Target="http://www.slavneft.ru/finstate/finstate_usgaap.php" TargetMode="Externa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hyperlink" Target="http://www.slavneft.ru/shareholde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5.emf"/><Relationship Id="rId29" Type="http://schemas.openxmlformats.org/officeDocument/2006/relationships/hyperlink" Target="http://www.slavneft.ru./_upload/doc/bus_ethic_decree_20071218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nk-bp.ru" TargetMode="External"/><Relationship Id="rId24" Type="http://schemas.openxmlformats.org/officeDocument/2006/relationships/chart" Target="charts/chart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image" Target="media/image6.png"/><Relationship Id="rId28" Type="http://schemas.openxmlformats.org/officeDocument/2006/relationships/hyperlink" Target="http://www.slavneft.ru/files/normdoc/slavneft/corp_behav_codex.doc" TargetMode="External"/><Relationship Id="rId10" Type="http://schemas.openxmlformats.org/officeDocument/2006/relationships/header" Target="header1.xml"/><Relationship Id="rId19" Type="http://schemas.openxmlformats.org/officeDocument/2006/relationships/chart" Target="charts/chart5.xml"/><Relationship Id="rId31" Type="http://schemas.openxmlformats.org/officeDocument/2006/relationships/hyperlink" Target="http://slavneft.ru/supplier/tender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chart" Target="charts/chart7.xml"/><Relationship Id="rId27" Type="http://schemas.openxmlformats.org/officeDocument/2006/relationships/hyperlink" Target="http://www.slavneft.ru/event/calendar.php" TargetMode="External"/><Relationship Id="rId30" Type="http://schemas.openxmlformats.org/officeDocument/2006/relationships/hyperlink" Target="http://www.slavneft.ru./_upload/doc/Regul_on_Insider_Inf_rus_1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C1_EVA_EXCH_SERVER\EVA_EXCH\EXCHANGE\&#1062;&#1044;&#1057;\&#1079;&#1072;&#1082;&#1088;&#1099;&#1090;&#1080;&#1077;\2012\12%20&#1076;&#1077;&#1082;&#1072;&#1073;&#1088;&#1100;\&#1069;&#1082;&#1086;&#1085;&#1086;&#1084;\&#1057;&#1088;.&#1076;&#1077;&#1073;&#1080;&#1090;%20&#1080;%20&#1086;&#1073;&#1074;&#1086;&#1076;&#1085;&#1077;&#1085;&#1085;&#1086;&#1089;&#1090;&#1100;%20&#1087;&#1086;%20&#1052;&#1053;&#1043;%20(&#1087;&#1083;&#1072;&#1085;,%20&#1092;&#1072;&#1082;&#1090;)%20&#1074;%202012&#1075;%20&#1076;&#1083;&#1103;%20&#1063;&#1091;&#1084;&#1072;&#1082;&#1086;&#1074;&#1072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1_EVA_EXCH_SERVER\EVA_EXCH\EXCHANGE\DE\05_&#1060;&#1072;&#1082;&#1090;_2012\&#1056;&#1057;&#1041;&#1059;\&#1053;&#1055;&#1047;_&#1057;&#1073;&#1099;&#1090;\&#1055;&#1088;&#1086;&#1074;&#1077;&#1088;&#1082;&#1072;%20&#1075;&#1086;&#1076;&#1086;&#1074;&#1086;&#1075;&#1086;%20&#1086;&#1090;&#1095;&#1077;&#1090;&#1072;%202012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\\C1_EVA_EXCH_SERVER\EVA_EXCH\EXCHANGE\DE\05_&#1060;&#1072;&#1082;&#1090;_2012\&#1056;&#1057;&#1041;&#1059;\&#1053;&#1055;&#1047;_&#1057;&#1073;&#1099;&#1090;\&#1055;&#1088;&#1086;&#1074;&#1077;&#1088;&#1082;&#1072;%20&#1075;&#1086;&#1076;&#1086;&#1074;&#1086;&#1075;&#1086;%20&#1086;&#1090;&#1095;&#1077;&#1090;&#1072;%202012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C1_EVA_EXCH_SERVER\EVA_EXCH\EXCHANGE\DE\05_&#1060;&#1072;&#1082;&#1090;_2012\&#1043;&#1086;&#1076;&#1086;&#1074;&#1086;&#1081;_&#1086;&#1090;&#1095;&#1077;&#1090;\&#1048;&#1089;&#1093;&#1086;&#1076;&#1085;&#1099;&#1077;%20&#1076;&#1072;&#1085;&#1085;&#1099;&#1077;\&#1050;&#1086;&#1085;&#1089;&#1086;&#1083;&#1080;&#1076;&#1072;&#1094;&#1080;&#1103;_&#1042;&#1099;&#1088;&#1091;&#1095;&#1082;&#1072;_&#1047;&#1072;&#1090;&#1088;&#1072;&#1090;&#1099;_Capex_2012\&#1057;&#1090;&#1088;&#1091;&#1082;&#1090;&#1091;&#1088;&#1072;_&#1042;&#1067;&#1056;&#1059;&#1063;&#1050;&#1048;_&#1075;&#1086;&#1076;&#1086;&#1074;&#1086;&#1081;_&#1086;&#1090;&#1095;&#1077;&#1090;_2012_&#1089;&#1074;&#1077;&#1088;&#1085;&#1091;&#1090;&#1099;&#1077;%20&#1086;&#1073;&#1086;&#1088;&#1086;&#1090;&#1099;%20&#1087;&#1086;%20&#1041;&#1077;&#1083;&#1100;&#1075;&#1080;&#1080;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C1_EVA_EXCH_SERVER\EVA_EXCH\EXCHANGE\DE\05_&#1060;&#1072;&#1082;&#1090;_2012\&#1043;&#1086;&#1076;&#1086;&#1074;&#1086;&#1081;_&#1086;&#1090;&#1095;&#1077;&#1090;\&#1048;&#1089;&#1093;&#1086;&#1076;&#1085;&#1099;&#1077;%20&#1076;&#1072;&#1085;&#1085;&#1099;&#1077;\&#1050;&#1086;&#1085;&#1089;&#1086;&#1083;&#1080;&#1076;&#1072;&#1094;&#1080;&#1103;_&#1042;&#1099;&#1088;&#1091;&#1095;&#1082;&#1072;_&#1047;&#1072;&#1090;&#1088;&#1072;&#1090;&#1099;_Capex_2012\&#1057;&#1090;&#1088;&#1091;&#1082;&#1090;&#1091;&#1088;&#1072;_CAPEX_&#1075;&#1086;&#1076;&#1086;&#1074;&#1086;&#1081;_&#1086;&#1090;&#1095;&#1077;&#1090;_2012.xls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\\C1_EVA_EXCH_SERVER\EVA_EXCH\EXCHANGE\DE\05_&#1060;&#1072;&#1082;&#1090;_2012\&#1056;&#1057;&#1041;&#1059;\&#1053;&#1055;&#1047;_&#1057;&#1073;&#1099;&#1090;\&#1055;&#1088;&#1086;&#1074;&#1077;&#1088;&#1082;&#1072;%20&#1075;&#1086;&#1076;&#1086;&#1074;&#1086;&#1075;&#1086;%20&#1086;&#1090;&#1095;&#1077;&#1090;&#1072;%202012.xls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3820478123590442E-2"/>
          <c:y val="7.3943661971830985E-2"/>
          <c:w val="0.86603575489718665"/>
          <c:h val="0.75343428225317988"/>
        </c:manualLayout>
      </c:layout>
      <c:lineChart>
        <c:grouping val="standard"/>
        <c:varyColors val="0"/>
        <c:ser>
          <c:idx val="1"/>
          <c:order val="0"/>
          <c:tx>
            <c:v>план</c:v>
          </c:tx>
          <c:spPr>
            <a:ln w="19044">
              <a:solidFill>
                <a:srgbClr val="0000FF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FFFFF"/>
              </a:solidFill>
              <a:ln w="15870">
                <a:solidFill>
                  <a:srgbClr val="0000FF"/>
                </a:solidFill>
                <a:prstDash val="solid"/>
              </a:ln>
            </c:spPr>
          </c:marker>
          <c:dLbls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00FF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Лист1!$B$2:$M$2</c:f>
              <c:strCache>
                <c:ptCount val="12"/>
                <c:pt idx="0">
                  <c:v>январь 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Лист1!$B$3:$M$3</c:f>
              <c:numCache>
                <c:formatCode>0.0</c:formatCode>
                <c:ptCount val="12"/>
                <c:pt idx="0">
                  <c:v>13.575156471150205</c:v>
                </c:pt>
                <c:pt idx="1">
                  <c:v>13.548115043009595</c:v>
                </c:pt>
                <c:pt idx="2">
                  <c:v>13.506235790299087</c:v>
                </c:pt>
                <c:pt idx="3">
                  <c:v>13.495911054191204</c:v>
                </c:pt>
                <c:pt idx="4">
                  <c:v>13.501393787162774</c:v>
                </c:pt>
                <c:pt idx="5">
                  <c:v>13.502235396719938</c:v>
                </c:pt>
                <c:pt idx="6">
                  <c:v>13.541458651562024</c:v>
                </c:pt>
                <c:pt idx="7">
                  <c:v>13.577947279317394</c:v>
                </c:pt>
                <c:pt idx="8">
                  <c:v>13.580203585169263</c:v>
                </c:pt>
                <c:pt idx="9">
                  <c:v>13.569396546201473</c:v>
                </c:pt>
                <c:pt idx="10">
                  <c:v>13.55543071117747</c:v>
                </c:pt>
                <c:pt idx="11">
                  <c:v>13.473640077421422</c:v>
                </c:pt>
              </c:numCache>
            </c:numRef>
          </c:val>
          <c:smooth val="0"/>
        </c:ser>
        <c:ser>
          <c:idx val="0"/>
          <c:order val="1"/>
          <c:tx>
            <c:v>факт</c:v>
          </c:tx>
          <c:spPr>
            <a:ln w="19044">
              <a:solidFill>
                <a:srgbClr val="008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dLbls>
            <c:spPr>
              <a:noFill/>
              <a:ln w="25392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8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Лист1!$B$2:$M$2</c:f>
              <c:strCache>
                <c:ptCount val="12"/>
                <c:pt idx="0">
                  <c:v>январь 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Лист1!$B$4:$M$4</c:f>
              <c:numCache>
                <c:formatCode>0.0</c:formatCode>
                <c:ptCount val="12"/>
                <c:pt idx="0">
                  <c:v>13.948426279599035</c:v>
                </c:pt>
                <c:pt idx="1">
                  <c:v>13.961756496360211</c:v>
                </c:pt>
                <c:pt idx="2">
                  <c:v>13.932394676255232</c:v>
                </c:pt>
                <c:pt idx="3">
                  <c:v>13.816685703306206</c:v>
                </c:pt>
                <c:pt idx="4">
                  <c:v>13.768401144324315</c:v>
                </c:pt>
                <c:pt idx="5">
                  <c:v>13.796647355427801</c:v>
                </c:pt>
                <c:pt idx="6">
                  <c:v>13.680237317089007</c:v>
                </c:pt>
                <c:pt idx="7">
                  <c:v>13.748222075259418</c:v>
                </c:pt>
                <c:pt idx="8">
                  <c:v>13.654776550739916</c:v>
                </c:pt>
                <c:pt idx="9">
                  <c:v>13.680076767263138</c:v>
                </c:pt>
                <c:pt idx="10">
                  <c:v>13.581158854729187</c:v>
                </c:pt>
                <c:pt idx="11">
                  <c:v>13.561422934547664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994048"/>
        <c:axId val="180995584"/>
      </c:lineChart>
      <c:catAx>
        <c:axId val="18099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450000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995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0995584"/>
        <c:scaling>
          <c:orientation val="minMax"/>
          <c:max val="15"/>
          <c:min val="12"/>
        </c:scaling>
        <c:delete val="0"/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Средний дебит нефти, т/сут</a:t>
                </a:r>
              </a:p>
            </c:rich>
          </c:tx>
          <c:layout>
            <c:manualLayout>
              <c:xMode val="edge"/>
              <c:yMode val="edge"/>
              <c:x val="6.7658759636177561E-3"/>
              <c:y val="0.22887307896802289"/>
            </c:manualLayout>
          </c:layout>
          <c:overlay val="0"/>
          <c:spPr>
            <a:noFill/>
            <a:ln w="25392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994048"/>
        <c:crosses val="autoZero"/>
        <c:crossBetween val="between"/>
        <c:minorUnit val="0.5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x val="0.69147542877894974"/>
          <c:y val="9.1549231587209151E-2"/>
          <c:w val="0.21515574704105378"/>
          <c:h val="0.1056336768193365"/>
        </c:manualLayout>
      </c:layout>
      <c:overlay val="0"/>
      <c:spPr>
        <a:noFill/>
        <a:ln w="25392">
          <a:noFill/>
        </a:ln>
      </c:spPr>
      <c:txPr>
        <a:bodyPr/>
        <a:lstStyle/>
        <a:p>
          <a:pPr>
            <a:defRPr sz="100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608168363313985E-2"/>
          <c:y val="0.11315652423999814"/>
          <c:w val="0.82047345135830207"/>
          <c:h val="0.795579902216073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0.15950914077270092"/>
                  <c:y val="0.30387819319701675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Ввод новых скважин </a:t>
                    </a:r>
                  </a:p>
                  <a:p>
                    <a:pPr>
                      <a:defRPr sz="898" b="0" i="0" baseline="0"/>
                    </a:pPr>
                    <a:r>
                      <a:rPr lang="en-US" sz="899" b="0" i="0" baseline="0"/>
                      <a:t>55</a:t>
                    </a:r>
                    <a:r>
                      <a:rPr lang="ru-RU" sz="899" b="0" i="0" baseline="0"/>
                      <a:t>%</a:t>
                    </a:r>
                    <a:endParaRPr lang="en-US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7908560674548768"/>
                  <c:y val="0.15639331063548031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Прочие</a:t>
                    </a:r>
                  </a:p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 </a:t>
                    </a:r>
                    <a:r>
                      <a:rPr lang="en-US" sz="899" b="0" i="0" baseline="0"/>
                      <a:t>4</a:t>
                    </a:r>
                    <a:r>
                      <a:rPr lang="ru-RU" sz="899" b="0" i="0" baseline="0"/>
                      <a:t>%</a:t>
                    </a:r>
                    <a:endParaRPr lang="en-US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169982793212005E-2"/>
                  <c:y val="0.23123444250244218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Зарезка второго ствола</a:t>
                    </a:r>
                  </a:p>
                  <a:p>
                    <a:pPr>
                      <a:defRPr sz="898" b="0" i="0" baseline="0"/>
                    </a:pPr>
                    <a:r>
                      <a:rPr lang="en-US" sz="899" b="0" i="0" baseline="0"/>
                      <a:t>8</a:t>
                    </a:r>
                    <a:r>
                      <a:rPr lang="ru-RU" sz="899" b="0" i="0" baseline="0"/>
                      <a:t>%</a:t>
                    </a:r>
                    <a:endParaRPr lang="en-US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649741715426121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Возвраты, приобщения</a:t>
                    </a:r>
                  </a:p>
                  <a:p>
                    <a:pPr>
                      <a:defRPr sz="898" b="0" i="0" baseline="0"/>
                    </a:pPr>
                    <a:r>
                      <a:rPr lang="en-US" sz="899" b="0" i="0" baseline="0"/>
                      <a:t>8</a:t>
                    </a:r>
                    <a:r>
                      <a:rPr lang="ru-RU" sz="899" b="0" i="0" baseline="0"/>
                      <a:t>%</a:t>
                    </a:r>
                    <a:endParaRPr lang="en-US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716330246992743E-2"/>
                  <c:y val="-9.2957314546208036E-2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Гидроразрыв пласта</a:t>
                    </a:r>
                  </a:p>
                  <a:p>
                    <a:pPr>
                      <a:defRPr sz="898" b="0" i="0" baseline="0"/>
                    </a:pPr>
                    <a:r>
                      <a:rPr lang="en-US" sz="899" b="0" i="0" baseline="0"/>
                      <a:t>15</a:t>
                    </a:r>
                    <a:r>
                      <a:rPr lang="ru-RU" sz="899" b="0" i="0" baseline="0"/>
                      <a:t>%</a:t>
                    </a:r>
                    <a:endParaRPr lang="en-US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992382466849625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898" b="0" i="0" baseline="0"/>
                    </a:pPr>
                    <a:r>
                      <a:rPr lang="ru-RU" sz="899" b="0" i="0" baseline="0"/>
                      <a:t>Интенсификация притоков </a:t>
                    </a:r>
                  </a:p>
                  <a:p>
                    <a:pPr>
                      <a:defRPr sz="898" b="0" i="0" baseline="0"/>
                    </a:pPr>
                    <a:r>
                      <a:rPr lang="en-US" sz="899" b="0" i="0" baseline="0"/>
                      <a:t>10</a:t>
                    </a:r>
                    <a:r>
                      <a:rPr lang="ru-RU" sz="899" b="0" i="0" baseline="0"/>
                      <a:t>%</a:t>
                    </a:r>
                    <a:endParaRPr lang="en-US" sz="900" b="0" i="0" baseline="0"/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99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Лист1!$B$83:$B$88</c:f>
              <c:strCache>
                <c:ptCount val="6"/>
                <c:pt idx="0">
                  <c:v>Ввод новых  скважин  </c:v>
                </c:pt>
                <c:pt idx="1">
                  <c:v>Прочие</c:v>
                </c:pt>
                <c:pt idx="2">
                  <c:v>Зарезка второго ствола</c:v>
                </c:pt>
                <c:pt idx="3">
                  <c:v>Возвраты, приобщения</c:v>
                </c:pt>
                <c:pt idx="4">
                  <c:v>Гидроразрыв пласта</c:v>
                </c:pt>
                <c:pt idx="5">
                  <c:v>Интенсификация притоков</c:v>
                </c:pt>
              </c:strCache>
            </c:strRef>
          </c:cat>
          <c:val>
            <c:numRef>
              <c:f>Лист1!$D$83:$D$88</c:f>
              <c:numCache>
                <c:formatCode>0</c:formatCode>
                <c:ptCount val="6"/>
                <c:pt idx="0">
                  <c:v>56.492465243290141</c:v>
                </c:pt>
                <c:pt idx="1">
                  <c:v>4.9351640983728728</c:v>
                </c:pt>
                <c:pt idx="2">
                  <c:v>6.7114461308564834</c:v>
                </c:pt>
                <c:pt idx="3">
                  <c:v>7.3252884150736302</c:v>
                </c:pt>
                <c:pt idx="4">
                  <c:v>14.26117754696598</c:v>
                </c:pt>
                <c:pt idx="5">
                  <c:v>10.2744585654409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4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>
                <a:latin typeface="Arial" pitchFamily="34" charset="0"/>
                <a:cs typeface="Arial" pitchFamily="34" charset="0"/>
              </a:defRPr>
            </a:pPr>
            <a:r>
              <a:rPr lang="ru-RU" sz="1000" b="1">
                <a:latin typeface="Arial" pitchFamily="34" charset="0"/>
                <a:cs typeface="Arial" pitchFamily="34" charset="0"/>
              </a:rPr>
              <a:t>Динамика</a:t>
            </a:r>
            <a:r>
              <a:rPr lang="ru-RU" sz="1000" b="1" baseline="0">
                <a:latin typeface="Arial" pitchFamily="34" charset="0"/>
                <a:cs typeface="Arial" pitchFamily="34" charset="0"/>
              </a:rPr>
              <a:t> производства </a:t>
            </a:r>
            <a:r>
              <a:rPr lang="ru-RU" sz="1000" b="1">
                <a:latin typeface="Arial" pitchFamily="34" charset="0"/>
                <a:cs typeface="Arial" pitchFamily="34" charset="0"/>
              </a:rPr>
              <a:t>нефтепродуктов </a:t>
            </a:r>
          </a:p>
          <a:p>
            <a:pPr>
              <a:defRPr sz="1000" b="1">
                <a:latin typeface="Arial" pitchFamily="34" charset="0"/>
                <a:cs typeface="Arial" pitchFamily="34" charset="0"/>
              </a:defRPr>
            </a:pPr>
            <a:r>
              <a:rPr lang="ru-RU" sz="1000" b="1">
                <a:latin typeface="Arial" pitchFamily="34" charset="0"/>
                <a:cs typeface="Arial" pitchFamily="34" charset="0"/>
              </a:rPr>
              <a:t>на ЯНОС в 2011</a:t>
            </a:r>
            <a:r>
              <a:rPr lang="ru-RU" sz="1000" b="1" baseline="0">
                <a:latin typeface="Arial" pitchFamily="34" charset="0"/>
                <a:cs typeface="Arial" pitchFamily="34" charset="0"/>
              </a:rPr>
              <a:t> и </a:t>
            </a:r>
            <a:r>
              <a:rPr lang="ru-RU" sz="1000" b="1">
                <a:latin typeface="Arial" pitchFamily="34" charset="0"/>
                <a:cs typeface="Arial" pitchFamily="34" charset="0"/>
              </a:rPr>
              <a:t>2012 гг.</a:t>
            </a:r>
          </a:p>
        </c:rich>
      </c:tx>
      <c:layout>
        <c:manualLayout>
          <c:xMode val="edge"/>
          <c:yMode val="edge"/>
          <c:x val="0.22573195075967617"/>
          <c:y val="2.162160154508988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402979115239696"/>
          <c:y val="0.14542356529758105"/>
          <c:w val="0.76973830687856848"/>
          <c:h val="0.7820963325530254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Графики!$B$2</c:f>
              <c:strCache>
                <c:ptCount val="1"/>
                <c:pt idx="0">
                  <c:v>2011г. Факт</c:v>
                </c:pt>
              </c:strCache>
            </c:strRef>
          </c:tx>
          <c:spPr>
            <a:gradFill rotWithShape="0">
              <a:gsLst>
                <a:gs pos="0">
                  <a:srgbClr val="763B3B"/>
                </a:gs>
                <a:gs pos="50000">
                  <a:srgbClr val="FF8080"/>
                </a:gs>
                <a:gs pos="100000">
                  <a:srgbClr val="763B3B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Графики!$B$3:$B$5</c:f>
              <c:numCache>
                <c:formatCode>_-* #,##0.0_р_._-;\-* #,##0.0_р_._-;_-* "-"??_р_._-;_-@_-</c:formatCode>
                <c:ptCount val="3"/>
                <c:pt idx="0">
                  <c:v>842.50300000000004</c:v>
                </c:pt>
                <c:pt idx="1">
                  <c:v>2352.4360000000001</c:v>
                </c:pt>
                <c:pt idx="2">
                  <c:v>4445.643</c:v>
                </c:pt>
              </c:numCache>
            </c:numRef>
          </c:val>
        </c:ser>
        <c:ser>
          <c:idx val="0"/>
          <c:order val="1"/>
          <c:tx>
            <c:strRef>
              <c:f>Графики!$C$2</c:f>
              <c:strCache>
                <c:ptCount val="1"/>
                <c:pt idx="0">
                  <c:v>2012г. План</c:v>
                </c:pt>
              </c:strCache>
            </c:strRef>
          </c:tx>
          <c:spPr>
            <a:gradFill rotWithShape="0">
              <a:gsLst>
                <a:gs pos="0">
                  <a:srgbClr val="3C485D"/>
                </a:gs>
                <a:gs pos="52000">
                  <a:srgbClr val="829BC8"/>
                </a:gs>
                <a:gs pos="100000">
                  <a:srgbClr val="3C485D"/>
                </a:gs>
              </a:gsLst>
              <a:lin ang="5400000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Графики!$C$3:$C$5</c:f>
              <c:numCache>
                <c:formatCode>_-* #,##0.0_р_._-;\-* #,##0.0_р_._-;_-* "-"??_р_._-;_-@_-</c:formatCode>
                <c:ptCount val="3"/>
                <c:pt idx="0">
                  <c:v>791.46299999999997</c:v>
                </c:pt>
                <c:pt idx="1">
                  <c:v>2437.5990000000002</c:v>
                </c:pt>
                <c:pt idx="2">
                  <c:v>4476.9170000000004</c:v>
                </c:pt>
              </c:numCache>
            </c:numRef>
          </c:val>
        </c:ser>
        <c:ser>
          <c:idx val="2"/>
          <c:order val="2"/>
          <c:tx>
            <c:strRef>
              <c:f>Графики!$D$2</c:f>
              <c:strCache>
                <c:ptCount val="1"/>
                <c:pt idx="0">
                  <c:v>2012г. Факт</c:v>
                </c:pt>
              </c:strCache>
            </c:strRef>
          </c:tx>
          <c:spPr>
            <a:gradFill rotWithShape="0">
              <a:gsLst>
                <a:gs pos="0">
                  <a:srgbClr val="D9E8C9"/>
                </a:gs>
                <a:gs pos="50000">
                  <a:srgbClr val="E6FFE6"/>
                </a:gs>
                <a:gs pos="100000">
                  <a:srgbClr val="6A766A"/>
                </a:gs>
              </a:gsLst>
              <a:lin ang="5400000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Графики!$D$3:$D$5</c:f>
              <c:numCache>
                <c:formatCode>_-* #,##0.0_р_._-;\-* #,##0.0_р_._-;_-* "-"??_р_._-;_-@_-</c:formatCode>
                <c:ptCount val="3"/>
                <c:pt idx="0">
                  <c:v>873.69299999999998</c:v>
                </c:pt>
                <c:pt idx="1">
                  <c:v>2430.5520000000001</c:v>
                </c:pt>
                <c:pt idx="2">
                  <c:v>4716.424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917376"/>
        <c:axId val="180918912"/>
      </c:barChart>
      <c:catAx>
        <c:axId val="180917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80918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0918912"/>
        <c:scaling>
          <c:orientation val="minMax"/>
          <c:max val="5250"/>
          <c:min val="0"/>
        </c:scaling>
        <c:delete val="0"/>
        <c:axPos val="b"/>
        <c:majorGridlines>
          <c:spPr>
            <a:ln w="3175">
              <a:solidFill>
                <a:schemeClr val="bg1">
                  <a:lumMod val="50000"/>
                </a:schemeClr>
              </a:solidFill>
              <a:prstDash val="dash"/>
            </a:ln>
          </c:spPr>
        </c:majorGridlines>
        <c:numFmt formatCode="#,##0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80917376"/>
        <c:crosses val="autoZero"/>
        <c:crossBetween val="between"/>
        <c:majorUnit val="2000"/>
      </c:valAx>
      <c:spPr>
        <a:solidFill>
          <a:srgbClr val="FFFFFF"/>
        </a:solidFill>
        <a:ln w="25400">
          <a:noFill/>
        </a:ln>
        <a:effectLst>
          <a:glow rad="127000">
            <a:schemeClr val="bg1"/>
          </a:glow>
          <a:outerShdw blurRad="50800" dist="50800" dir="5400000" algn="ctr" rotWithShape="0">
            <a:schemeClr val="bg1"/>
          </a:outerShdw>
        </a:effectLst>
        <a:scene3d>
          <a:camera prst="orthographicFront"/>
          <a:lightRig rig="threePt" dir="t"/>
        </a:scene3d>
        <a:sp3d prstMaterial="dkEdge"/>
      </c:spPr>
    </c:plotArea>
    <c:legend>
      <c:legendPos val="r"/>
      <c:layout>
        <c:manualLayout>
          <c:xMode val="edge"/>
          <c:yMode val="edge"/>
          <c:x val="0.73879320640475499"/>
          <c:y val="0.68851056001177424"/>
          <c:w val="0.22184778940028863"/>
          <c:h val="0.17410364977962656"/>
        </c:manualLayout>
      </c:layout>
      <c:overlay val="0"/>
      <c:spPr>
        <a:solidFill>
          <a:srgbClr val="FFFFFF"/>
        </a:solidFill>
        <a:ln w="3175" cap="sq">
          <a:noFill/>
          <a:prstDash val="solid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 prstMaterial="flat"/>
  </c:spPr>
  <c:txPr>
    <a:bodyPr/>
    <a:lstStyle/>
    <a:p>
      <a:pPr>
        <a:defRPr sz="1475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>
                <a:latin typeface="Arial" pitchFamily="34" charset="0"/>
                <a:cs typeface="Arial" pitchFamily="34" charset="0"/>
              </a:defRPr>
            </a:pPr>
            <a:r>
              <a:rPr lang="ru-RU" sz="1000" b="1">
                <a:latin typeface="Arial" pitchFamily="34" charset="0"/>
                <a:cs typeface="Arial" pitchFamily="34" charset="0"/>
              </a:rPr>
              <a:t>Динамика</a:t>
            </a:r>
            <a:r>
              <a:rPr lang="ru-RU" sz="1000" b="1" baseline="0">
                <a:latin typeface="Arial" pitchFamily="34" charset="0"/>
                <a:cs typeface="Arial" pitchFamily="34" charset="0"/>
              </a:rPr>
              <a:t> производства </a:t>
            </a:r>
            <a:r>
              <a:rPr lang="ru-RU" sz="1000" b="1">
                <a:latin typeface="Arial" pitchFamily="34" charset="0"/>
                <a:cs typeface="Arial" pitchFamily="34" charset="0"/>
              </a:rPr>
              <a:t>нефтепродуктов </a:t>
            </a:r>
          </a:p>
          <a:p>
            <a:pPr>
              <a:defRPr sz="1000" b="1">
                <a:latin typeface="Arial" pitchFamily="34" charset="0"/>
                <a:cs typeface="Arial" pitchFamily="34" charset="0"/>
              </a:defRPr>
            </a:pPr>
            <a:r>
              <a:rPr lang="ru-RU" sz="1000" b="1">
                <a:latin typeface="Arial" pitchFamily="34" charset="0"/>
                <a:cs typeface="Arial" pitchFamily="34" charset="0"/>
              </a:rPr>
              <a:t>на МНПЗ в 2011</a:t>
            </a:r>
            <a:r>
              <a:rPr lang="ru-RU" sz="1000" b="1" baseline="0">
                <a:latin typeface="Arial" pitchFamily="34" charset="0"/>
                <a:cs typeface="Arial" pitchFamily="34" charset="0"/>
              </a:rPr>
              <a:t> и </a:t>
            </a:r>
            <a:r>
              <a:rPr lang="ru-RU" sz="1000" b="1">
                <a:latin typeface="Arial" pitchFamily="34" charset="0"/>
                <a:cs typeface="Arial" pitchFamily="34" charset="0"/>
              </a:rPr>
              <a:t>2012 гг.</a:t>
            </a:r>
          </a:p>
        </c:rich>
      </c:tx>
      <c:layout>
        <c:manualLayout>
          <c:xMode val="edge"/>
          <c:yMode val="edge"/>
          <c:x val="0.22573208121314081"/>
          <c:y val="2.162160154508988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402979115239696"/>
          <c:y val="0.14542356529758105"/>
          <c:w val="0.76973830687856848"/>
          <c:h val="0.7820963325530254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Графики!$I$2</c:f>
              <c:strCache>
                <c:ptCount val="1"/>
                <c:pt idx="0">
                  <c:v>2011г. Факт</c:v>
                </c:pt>
              </c:strCache>
            </c:strRef>
          </c:tx>
          <c:spPr>
            <a:gradFill rotWithShape="0">
              <a:gsLst>
                <a:gs pos="0">
                  <a:srgbClr val="763B3B"/>
                </a:gs>
                <a:gs pos="50000">
                  <a:srgbClr val="FF8080"/>
                </a:gs>
                <a:gs pos="100000">
                  <a:srgbClr val="763B3B"/>
                </a:gs>
              </a:gsLst>
              <a:lin ang="5400000" scaled="1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Графики!$I$3:$I$5</c:f>
              <c:numCache>
                <c:formatCode>_-* #,##0.0_р_._-;\-* #,##0.0_р_._-;_-* "-"??_р_._-;_-@_-</c:formatCode>
                <c:ptCount val="3"/>
                <c:pt idx="0">
                  <c:v>270.89999999999998</c:v>
                </c:pt>
                <c:pt idx="1">
                  <c:v>2156.8000000000002</c:v>
                </c:pt>
                <c:pt idx="2">
                  <c:v>3209.604722</c:v>
                </c:pt>
              </c:numCache>
            </c:numRef>
          </c:val>
        </c:ser>
        <c:ser>
          <c:idx val="0"/>
          <c:order val="1"/>
          <c:tx>
            <c:strRef>
              <c:f>Графики!$J$2</c:f>
              <c:strCache>
                <c:ptCount val="1"/>
                <c:pt idx="0">
                  <c:v>2012г. План</c:v>
                </c:pt>
              </c:strCache>
            </c:strRef>
          </c:tx>
          <c:spPr>
            <a:gradFill rotWithShape="0">
              <a:gsLst>
                <a:gs pos="0">
                  <a:srgbClr val="3C485D"/>
                </a:gs>
                <a:gs pos="52000">
                  <a:srgbClr val="829BC8"/>
                </a:gs>
                <a:gs pos="100000">
                  <a:srgbClr val="3C485D"/>
                </a:gs>
              </a:gsLst>
              <a:lin ang="5400000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Графики!$J$3:$J$5</c:f>
              <c:numCache>
                <c:formatCode>_-* #,##0.0_р_._-;\-* #,##0.0_р_._-;_-* "-"??_р_._-;_-@_-</c:formatCode>
                <c:ptCount val="3"/>
                <c:pt idx="0">
                  <c:v>193.792</c:v>
                </c:pt>
                <c:pt idx="1">
                  <c:v>2546.5969999999998</c:v>
                </c:pt>
                <c:pt idx="2">
                  <c:v>3557.8589999999999</c:v>
                </c:pt>
              </c:numCache>
            </c:numRef>
          </c:val>
        </c:ser>
        <c:ser>
          <c:idx val="2"/>
          <c:order val="2"/>
          <c:tx>
            <c:strRef>
              <c:f>Графики!$K$2</c:f>
              <c:strCache>
                <c:ptCount val="1"/>
                <c:pt idx="0">
                  <c:v>2012г. Факт</c:v>
                </c:pt>
              </c:strCache>
            </c:strRef>
          </c:tx>
          <c:spPr>
            <a:gradFill rotWithShape="0">
              <a:gsLst>
                <a:gs pos="0">
                  <a:srgbClr val="D9E8C9"/>
                </a:gs>
                <a:gs pos="50000">
                  <a:srgbClr val="E6FFE6"/>
                </a:gs>
                <a:gs pos="100000">
                  <a:srgbClr val="6A766A"/>
                </a:gs>
              </a:gsLst>
              <a:lin ang="5400000"/>
            </a:gra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gradFill rotWithShape="0">
                <a:gsLst>
                  <a:gs pos="0">
                    <a:srgbClr val="6A766A"/>
                  </a:gs>
                  <a:gs pos="50000">
                    <a:srgbClr val="E6FFE6"/>
                  </a:gs>
                  <a:gs pos="100000">
                    <a:srgbClr val="6A766A"/>
                  </a:gs>
                </a:gsLst>
                <a:lin ang="5400000"/>
              </a:gra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txPr>
              <a:bodyPr/>
              <a:lstStyle/>
              <a:p>
                <a:pPr>
                  <a:defRPr sz="90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Графики!$A$3:$A$5</c:f>
              <c:strCache>
                <c:ptCount val="3"/>
                <c:pt idx="0">
                  <c:v>Керосины</c:v>
                </c:pt>
                <c:pt idx="1">
                  <c:v>Автобензины</c:v>
                </c:pt>
                <c:pt idx="2">
                  <c:v>Дизельное 
топливо, 
включая ТПБ</c:v>
                </c:pt>
              </c:strCache>
            </c:strRef>
          </c:cat>
          <c:val>
            <c:numRef>
              <c:f>Графики!$K$3:$K$5</c:f>
              <c:numCache>
                <c:formatCode>_-* #,##0.0_р_._-;\-* #,##0.0_р_._-;_-* "-"??_р_._-;_-@_-</c:formatCode>
                <c:ptCount val="3"/>
                <c:pt idx="0">
                  <c:v>144.33799999999999</c:v>
                </c:pt>
                <c:pt idx="1">
                  <c:v>2657.6109999999999</c:v>
                </c:pt>
                <c:pt idx="2">
                  <c:v>3741.3870000000002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210112"/>
        <c:axId val="181220096"/>
      </c:barChart>
      <c:catAx>
        <c:axId val="181210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81220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1220096"/>
        <c:scaling>
          <c:orientation val="minMax"/>
          <c:max val="5000"/>
          <c:min val="0"/>
        </c:scaling>
        <c:delete val="0"/>
        <c:axPos val="b"/>
        <c:majorGridlines>
          <c:spPr>
            <a:ln w="3175">
              <a:solidFill>
                <a:schemeClr val="bg1">
                  <a:lumMod val="50000"/>
                </a:schemeClr>
              </a:solidFill>
              <a:prstDash val="dash"/>
            </a:ln>
          </c:spPr>
        </c:majorGridlines>
        <c:numFmt formatCode="#,##0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 pitchFamily="34" charset="0"/>
                <a:ea typeface="Times New Roman"/>
                <a:cs typeface="Arial" pitchFamily="34" charset="0"/>
              </a:defRPr>
            </a:pPr>
            <a:endParaRPr lang="ru-RU"/>
          </a:p>
        </c:txPr>
        <c:crossAx val="181210112"/>
        <c:crosses val="autoZero"/>
        <c:crossBetween val="between"/>
        <c:majorUnit val="2000"/>
      </c:valAx>
      <c:spPr>
        <a:solidFill>
          <a:srgbClr val="FFFFFF"/>
        </a:solidFill>
        <a:ln w="25400">
          <a:noFill/>
        </a:ln>
        <a:effectLst>
          <a:glow rad="127000">
            <a:schemeClr val="bg1"/>
          </a:glow>
          <a:outerShdw blurRad="50800" dist="50800" dir="5400000" algn="ctr" rotWithShape="0">
            <a:schemeClr val="bg1"/>
          </a:outerShdw>
        </a:effectLst>
        <a:scene3d>
          <a:camera prst="orthographicFront"/>
          <a:lightRig rig="threePt" dir="t"/>
        </a:scene3d>
        <a:sp3d prstMaterial="dkEdge"/>
      </c:spPr>
    </c:plotArea>
    <c:legend>
      <c:legendPos val="r"/>
      <c:layout>
        <c:manualLayout>
          <c:xMode val="edge"/>
          <c:yMode val="edge"/>
          <c:x val="0.74232054326542518"/>
          <c:y val="0.67667540733103138"/>
          <c:w val="0.22180671860461887"/>
          <c:h val="0.17410364977962656"/>
        </c:manualLayout>
      </c:layout>
      <c:overlay val="0"/>
      <c:spPr>
        <a:solidFill>
          <a:srgbClr val="FFFFFF"/>
        </a:solidFill>
        <a:ln w="3175" cap="sq">
          <a:noFill/>
          <a:prstDash val="solid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 pitchFamily="34" charset="0"/>
              <a:ea typeface="Times New Roman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  <a:effectLst>
      <a:outerShdw blurRad="50800" dist="50800" dir="5400000" algn="ctr" rotWithShape="0">
        <a:schemeClr val="bg1"/>
      </a:outerShdw>
    </a:effectLst>
    <a:scene3d>
      <a:camera prst="orthographicFront"/>
      <a:lightRig rig="threePt" dir="t"/>
    </a:scene3d>
    <a:sp3d prstMaterial="flat"/>
  </c:spPr>
  <c:txPr>
    <a:bodyPr/>
    <a:lstStyle/>
    <a:p>
      <a:pPr>
        <a:defRPr sz="1475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20"/>
      <c:rotY val="31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0441383215881"/>
          <c:y val="0.15819158388876584"/>
          <c:w val="0.6177011208817329"/>
          <c:h val="0.60742292387775398"/>
        </c:manualLayout>
      </c:layout>
      <c:pie3DChart>
        <c:varyColors val="1"/>
        <c:ser>
          <c:idx val="0"/>
          <c:order val="0"/>
          <c:spPr>
            <a:solidFill>
              <a:srgbClr val="4E71B0"/>
            </a:solidFill>
            <a:ln w="25400">
              <a:noFill/>
            </a:ln>
          </c:spPr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5400">
                <a:noFill/>
              </a:ln>
            </c:spPr>
          </c:dPt>
          <c:dPt>
            <c:idx val="1"/>
            <c:bubble3D val="0"/>
            <c:spPr>
              <a:solidFill>
                <a:srgbClr val="8064A2">
                  <a:lumMod val="50000"/>
                </a:srgbClr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33CCCC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FF8080"/>
              </a:solidFill>
              <a:ln w="25400">
                <a:noFill/>
              </a:ln>
            </c:spPr>
          </c:dPt>
          <c:dLbls>
            <c:dLbl>
              <c:idx val="0"/>
              <c:layout>
                <c:manualLayout>
                  <c:x val="4.3352892990287044E-2"/>
                  <c:y val="-0.1316282887319497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2283576017965908E-2"/>
                  <c:y val="6.019355827944187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0964043604978826E-2"/>
                  <c:y val="-8.309947743018608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17228101264412E-3"/>
                  <c:y val="-0.1335905692200846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1796952187060257E-2"/>
                  <c:y val="-4.03199363112786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Структура_выручки_Рис7!$B$2:$B$5</c:f>
              <c:strCache>
                <c:ptCount val="4"/>
                <c:pt idx="0">
                  <c:v>Нефть в РФ</c:v>
                </c:pt>
                <c:pt idx="1">
                  <c:v>Реализация нефтепродуктов</c:v>
                </c:pt>
                <c:pt idx="2">
                  <c:v>Сторонний процессинг</c:v>
                </c:pt>
                <c:pt idx="3">
                  <c:v>Прочая выручка</c:v>
                </c:pt>
              </c:strCache>
            </c:strRef>
          </c:cat>
          <c:val>
            <c:numRef>
              <c:f>Структура_выручки_Рис7!$C$2:$C$5</c:f>
              <c:numCache>
                <c:formatCode>_ * #,##0.0_ ;__\ * \(#,##0.0\);_ * "-"_ ;_ @_ </c:formatCode>
                <c:ptCount val="4"/>
                <c:pt idx="0">
                  <c:v>175.83838125</c:v>
                </c:pt>
                <c:pt idx="1">
                  <c:v>0.13195555268999895</c:v>
                </c:pt>
                <c:pt idx="2">
                  <c:v>18.152286</c:v>
                </c:pt>
                <c:pt idx="3">
                  <c:v>4.5543879585653979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752940914232855E-3"/>
          <c:y val="0.8300154233298157"/>
          <c:w val="0.98814562192464794"/>
          <c:h val="0.13538400483444724"/>
        </c:manualLayout>
      </c:layout>
      <c:overlay val="0"/>
      <c:spPr>
        <a:noFill/>
        <a:ln w="3175">
          <a:noFill/>
          <a:prstDash val="solid"/>
        </a:ln>
        <a:effectLst>
          <a:outerShdw dist="35921" dir="2700000" algn="br">
            <a:schemeClr val="bg1"/>
          </a:outerShdw>
        </a:effectLst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90234363355611"/>
          <c:y val="0.23750028991734609"/>
          <c:w val="0.57753426617619874"/>
          <c:h val="0.4700005737311691"/>
        </c:manualLayout>
      </c:layout>
      <c:pie3DChart>
        <c:varyColors val="1"/>
        <c:ser>
          <c:idx val="0"/>
          <c:order val="0"/>
          <c:spPr>
            <a:ln w="25400">
              <a:noFill/>
            </a:ln>
          </c:spPr>
          <c:explosion val="25"/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 w="12700">
                <a:noFill/>
                <a:prstDash val="solid"/>
              </a:ln>
            </c:spPr>
          </c:dPt>
          <c:dPt>
            <c:idx val="1"/>
            <c:bubble3D val="0"/>
            <c:spPr>
              <a:solidFill>
                <a:srgbClr val="FFFFCC"/>
              </a:solidFill>
              <a:ln w="25400">
                <a:noFill/>
              </a:ln>
            </c:spPr>
          </c:dPt>
          <c:dPt>
            <c:idx val="2"/>
            <c:bubble3D val="0"/>
            <c:spPr>
              <a:solidFill>
                <a:srgbClr val="BDFFFF"/>
              </a:solidFill>
              <a:ln w="25400">
                <a:noFill/>
              </a:ln>
            </c:spPr>
          </c:dPt>
          <c:dPt>
            <c:idx val="3"/>
            <c:bubble3D val="0"/>
            <c:spPr>
              <a:solidFill>
                <a:srgbClr val="558ED5"/>
              </a:solidFill>
              <a:ln w="25400">
                <a:noFill/>
              </a:ln>
            </c:spPr>
          </c:dPt>
          <c:dPt>
            <c:idx val="4"/>
            <c:bubble3D val="0"/>
            <c:spPr>
              <a:solidFill>
                <a:srgbClr val="FF8080"/>
              </a:solidFill>
              <a:ln w="12700">
                <a:noFill/>
                <a:prstDash val="solid"/>
              </a:ln>
            </c:spPr>
          </c:dPt>
          <c:dLbls>
            <c:dLbl>
              <c:idx val="0"/>
              <c:layout>
                <c:manualLayout>
                  <c:x val="-5.2205453484981047E-2"/>
                  <c:y val="5.49977305468395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2814596092155147E-2"/>
                  <c:y val="-0.135867227122925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9162292213473317"/>
                  <c:y val="-0.1974712371479880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8586869349664625E-2"/>
                  <c:y val="-0.1044098435064038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.12335228929717118"/>
                  <c:y val="7.041738203777159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6.1350065616797921E-2"/>
                  <c:y val="0.1884932804452076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9961174472845917E-2"/>
                  <c:y val="-9.7493072093126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Структура_затрат_Рис.8!$B$2:$B$7</c:f>
              <c:strCache>
                <c:ptCount val="6"/>
                <c:pt idx="0">
                  <c:v>Добыча нефти</c:v>
                </c:pt>
                <c:pt idx="1">
                  <c:v>Затраты на нефтепереработку и нефтепродукты</c:v>
                </c:pt>
                <c:pt idx="2">
                  <c:v>Коммерческие расходы</c:v>
                </c:pt>
                <c:pt idx="3">
                  <c:v>Налоги, относимые на себестоимость</c:v>
                </c:pt>
                <c:pt idx="4">
                  <c:v>Износ и амортизация</c:v>
                </c:pt>
                <c:pt idx="5">
                  <c:v>Прочие </c:v>
                </c:pt>
              </c:strCache>
            </c:strRef>
          </c:cat>
          <c:val>
            <c:numRef>
              <c:f>Структура_затрат_Рис.8!$C$2:$C$7</c:f>
              <c:numCache>
                <c:formatCode>_ * #,##0.0_ ;__\ * \(#,##0.0\);_ * "-"_ ;_ @_ </c:formatCode>
                <c:ptCount val="6"/>
                <c:pt idx="0">
                  <c:v>27.1</c:v>
                </c:pt>
                <c:pt idx="1">
                  <c:v>9.1</c:v>
                </c:pt>
                <c:pt idx="2">
                  <c:v>6.1</c:v>
                </c:pt>
                <c:pt idx="3">
                  <c:v>95.138783258707861</c:v>
                </c:pt>
                <c:pt idx="4">
                  <c:v>28.3</c:v>
                </c:pt>
                <c:pt idx="5">
                  <c:v>5.0612167412921671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832953338525809"/>
          <c:y val="5.4545562155859685E-2"/>
          <c:w val="0.84802832259434968"/>
          <c:h val="0.698879859305943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Реализация_инв._программы_Рис.9!$B$5</c:f>
              <c:strCache>
                <c:ptCount val="1"/>
                <c:pt idx="0">
                  <c:v>добывающие 
предприятия **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lumMod val="75000"/>
                  </a:schemeClr>
                </a:gs>
                <a:gs pos="50000">
                  <a:schemeClr val="tx2">
                    <a:lumMod val="40000"/>
                    <a:lumOff val="60000"/>
                  </a:schemeClr>
                </a:gs>
                <a:gs pos="100000">
                  <a:schemeClr val="accent1">
                    <a:lumMod val="75000"/>
                  </a:schemeClr>
                </a:gs>
              </a:gsLst>
              <a:lin ang="0" scaled="1"/>
              <a:tileRect/>
            </a:gradFill>
            <a:ln w="12700">
              <a:noFill/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Реализация_инв._программы_Рис.9!$C$3:$E$3</c:f>
              <c:strCache>
                <c:ptCount val="3"/>
                <c:pt idx="0">
                  <c:v>2011г. Факт 
(US GAAP) *</c:v>
                </c:pt>
                <c:pt idx="1">
                  <c:v>2012г. План
(МСФО)</c:v>
                </c:pt>
                <c:pt idx="2">
                  <c:v>2012г. Факт
(МСФО)</c:v>
                </c:pt>
              </c:strCache>
            </c:strRef>
          </c:cat>
          <c:val>
            <c:numRef>
              <c:f>Реализация_инв._программы_Рис.9!$C$5:$E$5</c:f>
              <c:numCache>
                <c:formatCode>0.00</c:formatCode>
                <c:ptCount val="3"/>
                <c:pt idx="0">
                  <c:v>27.224564899615185</c:v>
                </c:pt>
                <c:pt idx="1">
                  <c:v>25.387567358065265</c:v>
                </c:pt>
                <c:pt idx="2">
                  <c:v>26.112899195299487</c:v>
                </c:pt>
              </c:numCache>
            </c:numRef>
          </c:val>
        </c:ser>
        <c:ser>
          <c:idx val="1"/>
          <c:order val="1"/>
          <c:tx>
            <c:strRef>
              <c:f>Реализация_инв._программы_Рис.9!$B$6</c:f>
              <c:strCache>
                <c:ptCount val="1"/>
                <c:pt idx="0">
                  <c:v>перерабатывающие 
предприятия</c:v>
                </c:pt>
              </c:strCache>
            </c:strRef>
          </c:tx>
          <c:spPr>
            <a:gradFill flip="none" rotWithShape="1">
              <a:gsLst>
                <a:gs pos="0">
                  <a:schemeClr val="accent2">
                    <a:lumMod val="75000"/>
                  </a:schemeClr>
                </a:gs>
                <a:gs pos="50000">
                  <a:schemeClr val="accent2">
                    <a:lumMod val="60000"/>
                    <a:lumOff val="40000"/>
                  </a:schemeClr>
                </a:gs>
                <a:gs pos="100000">
                  <a:schemeClr val="accent2">
                    <a:lumMod val="75000"/>
                  </a:schemeClr>
                </a:gs>
              </a:gsLst>
              <a:lin ang="0" scaled="1"/>
              <a:tileRect/>
            </a:gradFill>
            <a:ln w="12700">
              <a:noFill/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Реализация_инв._программы_Рис.9!$C$3:$E$3</c:f>
              <c:strCache>
                <c:ptCount val="3"/>
                <c:pt idx="0">
                  <c:v>2011г. Факт 
(US GAAP) *</c:v>
                </c:pt>
                <c:pt idx="1">
                  <c:v>2012г. План
(МСФО)</c:v>
                </c:pt>
                <c:pt idx="2">
                  <c:v>2012г. Факт
(МСФО)</c:v>
                </c:pt>
              </c:strCache>
            </c:strRef>
          </c:cat>
          <c:val>
            <c:numRef>
              <c:f>Реализация_инв._программы_Рис.9!$C$6:$E$6</c:f>
              <c:numCache>
                <c:formatCode>0.00</c:formatCode>
                <c:ptCount val="3"/>
                <c:pt idx="0">
                  <c:v>7.6041204898893771</c:v>
                </c:pt>
                <c:pt idx="1">
                  <c:v>7.9613083338688702</c:v>
                </c:pt>
                <c:pt idx="2">
                  <c:v>7.432386341544519</c:v>
                </c:pt>
              </c:numCache>
            </c:numRef>
          </c:val>
        </c:ser>
        <c:ser>
          <c:idx val="2"/>
          <c:order val="2"/>
          <c:tx>
            <c:strRef>
              <c:f>Реализация_инв._программы_Рис.9!$B$7</c:f>
              <c:strCache>
                <c:ptCount val="1"/>
                <c:pt idx="0">
                  <c:v>прочие предприятия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75000"/>
                  </a:schemeClr>
                </a:gs>
                <a:gs pos="0">
                  <a:schemeClr val="accent3">
                    <a:lumMod val="75000"/>
                  </a:schemeClr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9000">
                  <a:schemeClr val="accent3">
                    <a:lumMod val="75000"/>
                  </a:schemeClr>
                </a:gs>
              </a:gsLst>
              <a:lin ang="0" scaled="1"/>
              <a:tileRect/>
            </a:gradFill>
            <a:ln w="12700">
              <a:noFill/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Реализация_инв._программы_Рис.9!$C$3:$E$3</c:f>
              <c:strCache>
                <c:ptCount val="3"/>
                <c:pt idx="0">
                  <c:v>2011г. Факт 
(US GAAP) *</c:v>
                </c:pt>
                <c:pt idx="1">
                  <c:v>2012г. План
(МСФО)</c:v>
                </c:pt>
                <c:pt idx="2">
                  <c:v>2012г. Факт
(МСФО)</c:v>
                </c:pt>
              </c:strCache>
            </c:strRef>
          </c:cat>
          <c:val>
            <c:numRef>
              <c:f>Реализация_инв._программы_Рис.9!$C$7:$E$7</c:f>
              <c:numCache>
                <c:formatCode>0.00</c:formatCode>
                <c:ptCount val="3"/>
                <c:pt idx="0">
                  <c:v>3.8895431043383027E-2</c:v>
                </c:pt>
                <c:pt idx="1">
                  <c:v>3.0906284745762718E-2</c:v>
                </c:pt>
                <c:pt idx="2">
                  <c:v>5.6862484190000007E-2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100"/>
        <c:axId val="181277440"/>
        <c:axId val="181278976"/>
      </c:barChart>
      <c:catAx>
        <c:axId val="18127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 pitchFamily="34" charset="0"/>
                <a:ea typeface="Arial Cyr"/>
                <a:cs typeface="Arial" pitchFamily="34" charset="0"/>
              </a:defRPr>
            </a:pPr>
            <a:endParaRPr lang="ru-RU"/>
          </a:p>
        </c:txPr>
        <c:crossAx val="181278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1278976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sz="1000"/>
                  <a:t>млрд руб.</a:t>
                </a:r>
              </a:p>
            </c:rich>
          </c:tx>
          <c:layout>
            <c:manualLayout>
              <c:xMode val="edge"/>
              <c:yMode val="edge"/>
              <c:x val="3.5826771653543307E-3"/>
              <c:y val="0.339394656592781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27744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1655411455920951"/>
          <c:y val="0.8650463489751643"/>
          <c:w val="0.85031557819978387"/>
          <c:h val="0.1270119703245187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06925796990793"/>
          <c:y val="4.7477813598000504E-2"/>
          <c:w val="0.75162066307187236"/>
          <c:h val="0.71513456731988267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5"/>
          </c:dPt>
          <c:dPt>
            <c:idx val="1"/>
            <c:bubble3D val="0"/>
            <c:explosion val="3"/>
            <c:spPr>
              <a:solidFill>
                <a:srgbClr val="FF6565"/>
              </a:solidFill>
            </c:spPr>
          </c:dPt>
          <c:dPt>
            <c:idx val="2"/>
            <c:bubble3D val="0"/>
            <c:explosion val="10"/>
          </c:dPt>
          <c:dLbls>
            <c:dLbl>
              <c:idx val="0"/>
              <c:layout>
                <c:manualLayout>
                  <c:x val="-0.12060379766211242"/>
                  <c:y val="-8.06872982593581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172866645891725E-2"/>
                  <c:y val="-2.85416355748596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3701916047693179E-3"/>
                  <c:y val="-1.051181831749152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Графики!$A$36:$A$38</c:f>
              <c:strCache>
                <c:ptCount val="3"/>
                <c:pt idx="0">
                  <c:v>Промышленое строительство</c:v>
                </c:pt>
                <c:pt idx="1">
                  <c:v>Техническое перевооружение</c:v>
                </c:pt>
                <c:pt idx="2">
                  <c:v>Приобретение оборудования, не вход. в сметы строек</c:v>
                </c:pt>
              </c:strCache>
            </c:strRef>
          </c:cat>
          <c:val>
            <c:numRef>
              <c:f>Графики!$D$36:$D$38</c:f>
              <c:numCache>
                <c:formatCode>#,##0.00</c:formatCode>
                <c:ptCount val="3"/>
                <c:pt idx="0">
                  <c:v>3727.270755619938</c:v>
                </c:pt>
                <c:pt idx="1">
                  <c:v>4148.4674246169407</c:v>
                </c:pt>
                <c:pt idx="2">
                  <c:v>726.15363198949149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b"/>
      <c:layout>
        <c:manualLayout>
          <c:xMode val="edge"/>
          <c:yMode val="edge"/>
          <c:x val="2.3758042902864991E-2"/>
          <c:y val="0.80712290785610252"/>
          <c:w val="0.96112406835221542"/>
          <c:h val="0.15727034120734906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0.8336</cdr:x>
      <cdr:y>0.92633</cdr:y>
    </cdr:from>
    <cdr:to>
      <cdr:x>0.98306</cdr:x>
      <cdr:y>0.99624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00819" y="2517568"/>
          <a:ext cx="538028" cy="1900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1">
              <a:latin typeface="Arial" pitchFamily="34" charset="0"/>
              <a:cs typeface="Arial" pitchFamily="34" charset="0"/>
            </a:rPr>
            <a:t>(тыс.т)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0.8402</cdr:x>
      <cdr:y>0.93374</cdr:y>
    </cdr:from>
    <cdr:to>
      <cdr:x>0.98636</cdr:x>
      <cdr:y>0.99981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024568" y="2517568"/>
          <a:ext cx="526153" cy="1781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1">
              <a:latin typeface="Arial" pitchFamily="34" charset="0"/>
              <a:cs typeface="Arial" pitchFamily="34" charset="0"/>
            </a:rPr>
            <a:t>(тыс.т)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0.33291</cdr:x>
      <cdr:y>0.16387</cdr:y>
    </cdr:from>
    <cdr:to>
      <cdr:x>0.39097</cdr:x>
      <cdr:y>0.35715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1828800" y="414670"/>
          <a:ext cx="318976" cy="48909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0.77212</cdr:x>
      <cdr:y>0.68673</cdr:y>
    </cdr:from>
    <cdr:to>
      <cdr:x>0.96923</cdr:x>
      <cdr:y>0.75591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743200" y="1661440"/>
          <a:ext cx="700305" cy="1673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800" b="1">
              <a:latin typeface="Arial" pitchFamily="34" charset="0"/>
              <a:cs typeface="Arial" pitchFamily="34" charset="0"/>
            </a:rPr>
            <a:t>(</a:t>
          </a:r>
          <a:r>
            <a:rPr lang="ru-RU" sz="8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млн</a:t>
          </a:r>
          <a:r>
            <a:rPr lang="ru-RU" sz="800" b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ru-RU" sz="8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руб</a:t>
          </a:r>
          <a:r>
            <a:rPr lang="ru-RU" sz="800" b="1">
              <a:latin typeface="Arial" pitchFamily="34" charset="0"/>
              <a:cs typeface="Arial" pitchFamily="34" charset="0"/>
            </a:rPr>
            <a:t>.)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DA34-D1A3-4ABA-B7DE-058EAFD2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12566</Words>
  <Characters>71632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Никандрова Людмила Николаевна</dc:creator>
  <cp:lastModifiedBy>Никандрова Людмила Николаевна</cp:lastModifiedBy>
  <cp:revision>2</cp:revision>
  <cp:lastPrinted>2013-05-27T11:10:00Z</cp:lastPrinted>
  <dcterms:created xsi:type="dcterms:W3CDTF">2013-07-03T12:03:00Z</dcterms:created>
  <dcterms:modified xsi:type="dcterms:W3CDTF">2013-07-03T12:03:00Z</dcterms:modified>
</cp:coreProperties>
</file>